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theme/themeOverride26.xml" ContentType="application/vnd.openxmlformats-officedocument.themeOverride+xml"/>
  <Override PartName="/word/charts/chart28.xml" ContentType="application/vnd.openxmlformats-officedocument.drawingml.chart+xml"/>
  <Override PartName="/word/theme/themeOverride27.xml" ContentType="application/vnd.openxmlformats-officedocument.themeOverride+xml"/>
  <Override PartName="/word/charts/chart29.xml" ContentType="application/vnd.openxmlformats-officedocument.drawingml.chart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theme/themeOverride30.xml" ContentType="application/vnd.openxmlformats-officedocument.themeOverride+xml"/>
  <Override PartName="/word/charts/chart32.xml" ContentType="application/vnd.openxmlformats-officedocument.drawingml.chart+xml"/>
  <Override PartName="/word/theme/themeOverride31.xml" ContentType="application/vnd.openxmlformats-officedocument.themeOverride+xml"/>
  <Override PartName="/word/charts/chart33.xml" ContentType="application/vnd.openxmlformats-officedocument.drawingml.chart+xml"/>
  <Override PartName="/word/theme/themeOverride32.xml" ContentType="application/vnd.openxmlformats-officedocument.themeOverride+xml"/>
  <Override PartName="/word/charts/chart34.xml" ContentType="application/vnd.openxmlformats-officedocument.drawingml.chart+xml"/>
  <Override PartName="/word/theme/themeOverride33.xml" ContentType="application/vnd.openxmlformats-officedocument.themeOverride+xml"/>
  <Override PartName="/word/charts/chart35.xml" ContentType="application/vnd.openxmlformats-officedocument.drawingml.chart+xml"/>
  <Override PartName="/word/theme/themeOverride34.xml" ContentType="application/vnd.openxmlformats-officedocument.themeOverride+xml"/>
  <Override PartName="/word/charts/chart36.xml" ContentType="application/vnd.openxmlformats-officedocument.drawingml.chart+xml"/>
  <Override PartName="/word/theme/themeOverride35.xml" ContentType="application/vnd.openxmlformats-officedocument.themeOverride+xml"/>
  <Override PartName="/word/charts/chart37.xml" ContentType="application/vnd.openxmlformats-officedocument.drawingml.chart+xml"/>
  <Override PartName="/word/theme/themeOverride36.xml" ContentType="application/vnd.openxmlformats-officedocument.themeOverride+xml"/>
  <Override PartName="/word/charts/chart38.xml" ContentType="application/vnd.openxmlformats-officedocument.drawingml.chart+xml"/>
  <Override PartName="/word/theme/themeOverride37.xml" ContentType="application/vnd.openxmlformats-officedocument.themeOverride+xml"/>
  <Override PartName="/word/charts/chart39.xml" ContentType="application/vnd.openxmlformats-officedocument.drawingml.chart+xml"/>
  <Override PartName="/word/theme/themeOverride38.xml" ContentType="application/vnd.openxmlformats-officedocument.themeOverride+xml"/>
  <Override PartName="/word/charts/chart40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theme/themeOverride40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C0F78" w:rsidRPr="00DC3264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BC44D1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 xml:space="preserve">«Состояние и развитие </w:t>
      </w:r>
      <w:proofErr w:type="gramStart"/>
      <w:r w:rsidRPr="00DC3264">
        <w:rPr>
          <w:rFonts w:ascii="Times New Roman" w:hAnsi="Times New Roman"/>
          <w:b/>
          <w:sz w:val="48"/>
          <w:szCs w:val="48"/>
        </w:rPr>
        <w:t>конкурентной</w:t>
      </w:r>
      <w:proofErr w:type="gramEnd"/>
      <w:r w:rsidRPr="00DC3264">
        <w:rPr>
          <w:rFonts w:ascii="Times New Roman" w:hAnsi="Times New Roman"/>
          <w:b/>
          <w:sz w:val="48"/>
          <w:szCs w:val="48"/>
        </w:rPr>
        <w:t xml:space="preserve"> </w:t>
      </w:r>
    </w:p>
    <w:p w:rsidR="00CC0F78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среды на рынках товаров</w:t>
      </w:r>
      <w:r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BC44D1" w:rsidRDefault="00BC44D1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</w:t>
      </w:r>
      <w:r w:rsidR="00CC0F78">
        <w:rPr>
          <w:rFonts w:ascii="Times New Roman" w:hAnsi="Times New Roman"/>
          <w:b/>
          <w:sz w:val="48"/>
          <w:szCs w:val="48"/>
        </w:rPr>
        <w:t xml:space="preserve">униципального образования </w:t>
      </w:r>
    </w:p>
    <w:p w:rsidR="00CC0F78" w:rsidRPr="00DC3264" w:rsidRDefault="00CC0F78" w:rsidP="00AC065C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город Краснодар в 2016 году»</w:t>
      </w:r>
    </w:p>
    <w:p w:rsidR="00CC0F78" w:rsidRDefault="00CC0F78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78" w:rsidRDefault="00CC0F78" w:rsidP="00AC065C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B0E" w:rsidRPr="00D02B0E" w:rsidRDefault="00723E3C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2D370C" w:rsidRPr="002D37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2D370C" w:rsidRPr="00F668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соответствии с распоряжением Правительства Российской Федерации </w:t>
      </w:r>
      <w:r w:rsidR="002D370C" w:rsidRPr="006256A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от 05.09.2015 № 1738-р </w:t>
      </w:r>
      <w:r w:rsidR="002D37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развития конкуренции между хозяйствующими субъектами в отраслях экономики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одействи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рованию прозрачной системы работы органов 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в интересах потребителей товаров, работ и услуг, в том числе субъектов предпринимательской деятельн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76585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02B0E" w:rsidRP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2772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2B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 Краснодар проводится работа по внедрению Стандарта развития конкуренции.</w:t>
      </w:r>
      <w:proofErr w:type="gramEnd"/>
    </w:p>
    <w:p w:rsidR="00D02B0E" w:rsidRDefault="00D02B0E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0A9" w:rsidRDefault="00446055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</w:t>
      </w:r>
      <w:r w:rsidR="00BC4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конкуренции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</w:t>
      </w:r>
      <w:r w:rsidR="00BD6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значимых рынк</w:t>
      </w:r>
      <w:r w:rsidR="00BC4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ах </w:t>
      </w:r>
    </w:p>
    <w:p w:rsidR="00446055" w:rsidRDefault="00BC40A9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 Краснодар</w:t>
      </w:r>
      <w:r w:rsidR="004460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46055" w:rsidRDefault="00446055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удовлетворенности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организаций, 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уровнем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качеством и возможностью выбора товаров, работ и услуг на рынках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 xml:space="preserve">а федеральном уровне Стандартом были исследованы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конкуренции: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дошкольного образования;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детского отдыха и оздоровления;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дополнительного образования детей;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медицинских услуг;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психолого-педагогического сопровождения детей с огр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ниченными возможностями здоровья;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в сфере культуры;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жилищно-коммунального хозяйства;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розничная торговля;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перевозок пассажиров наземным транспортом;</w:t>
      </w:r>
    </w:p>
    <w:p w:rsidR="00446055" w:rsidRPr="00DB16AE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связи;</w:t>
      </w:r>
    </w:p>
    <w:p w:rsidR="00446055" w:rsidRDefault="0044605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DB16AE">
        <w:rPr>
          <w:rFonts w:ascii="Times New Roman" w:eastAsia="Times New Roman" w:hAnsi="Times New Roman"/>
          <w:sz w:val="28"/>
          <w:szCs w:val="28"/>
          <w:lang w:eastAsia="ru-RU"/>
        </w:rPr>
        <w:tab/>
        <w:t>рынок услуг социального обслуживания населения.</w:t>
      </w:r>
    </w:p>
    <w:p w:rsidR="00BC44D1" w:rsidRPr="008B7EB3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Мониторинг состояния и развития конкурентной среды на рынках тов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ров, работ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Краснодар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ниторинг) проводился по следующим направлениям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44D1" w:rsidRPr="008B7EB3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) мониторинг наличия (отсутствия) административных барьеров и оце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ки состояния конкурентной среды субъектами предпринимательской деятел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ности;</w:t>
      </w:r>
    </w:p>
    <w:p w:rsidR="00BC44D1" w:rsidRPr="008B7EB3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удовлетворенности потребителей качеством товаров, р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бот, услуг на товарных рынках  муниципального образования и состоянием ц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 конкуренции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4D1" w:rsidRPr="008B7EB3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удовлетворенности субъектов предпринимательской де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и потребителей товаров, работ, услуг качеством официальной </w:t>
      </w:r>
      <w:proofErr w:type="gramStart"/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ин-формации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состоянии конкурентной среды.</w:t>
      </w:r>
    </w:p>
    <w:p w:rsidR="00BC44D1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указанных мониторингов использо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вались </w:t>
      </w:r>
      <w:r w:rsidRPr="00A863F6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опросов (анкетирования) субъектов предпринимательской деятельности и п</w:t>
      </w:r>
      <w:r w:rsidRPr="00A86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63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ребителей товаров, работ, услуг.</w:t>
      </w:r>
    </w:p>
    <w:p w:rsidR="00BC44D1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опросе, проведенном в ноябре 2016 года, </w:t>
      </w:r>
      <w:r w:rsidRPr="00BC44D1">
        <w:rPr>
          <w:rFonts w:ascii="Times New Roman" w:eastAsia="Times New Roman" w:hAnsi="Times New Roman"/>
          <w:sz w:val="28"/>
          <w:szCs w:val="28"/>
          <w:lang w:eastAsia="ru-RU"/>
        </w:rPr>
        <w:t>приняли 1014 хозя</w:t>
      </w:r>
      <w:r w:rsidRPr="00BC44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C44D1">
        <w:rPr>
          <w:rFonts w:ascii="Times New Roman" w:eastAsia="Times New Roman" w:hAnsi="Times New Roman"/>
          <w:sz w:val="28"/>
          <w:szCs w:val="28"/>
          <w:lang w:eastAsia="ru-RU"/>
        </w:rPr>
        <w:t>ствующих субъектов и 7205 потребителей товаров и услуг.</w:t>
      </w:r>
    </w:p>
    <w:p w:rsidR="00805553" w:rsidRDefault="00805553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ольшая часть участников опроса осуществляет свою деятельность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31%,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феру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 производства указал 21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% предпринимателей осуществляют свою д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ятельнос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в сфере сельского хозяйства, более 9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% представляют социальную сферу: образование, здравоохранение, культура, социальные услуги. Кроме т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% из числа опрошенных – представители сферы курортно-туристских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в сфере транспорта и связи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% опрошенных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предоставления прочих услуг отнесли себя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% хозяйствующих субъе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тов,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% из общего числа опрошенных не </w:t>
      </w:r>
      <w:proofErr w:type="gramStart"/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указали к какому виду экон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>мической деятельности относится</w:t>
      </w:r>
      <w:proofErr w:type="gramEnd"/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организация.</w:t>
      </w:r>
    </w:p>
    <w:p w:rsidR="00805553" w:rsidRPr="00287F3B" w:rsidRDefault="00805553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i/>
          <w:szCs w:val="28"/>
          <w:lang w:eastAsia="ru-RU"/>
        </w:rPr>
      </w:pPr>
    </w:p>
    <w:p w:rsidR="001B08E1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Структура хозяйствующих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разрезе основных</w:t>
      </w: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сфер</w:t>
      </w:r>
    </w:p>
    <w:p w:rsidR="001B08E1" w:rsidRPr="005308EF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экономической деятельности субъектов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итогам</w:t>
      </w: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мониторинга </w:t>
      </w:r>
    </w:p>
    <w:p w:rsidR="001B08E1" w:rsidRDefault="001B08E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D7DFEDF" wp14:editId="25A798F0">
            <wp:extent cx="5886450" cy="3581400"/>
            <wp:effectExtent l="38100" t="0" r="19050" b="1905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8E1" w:rsidRPr="00287F3B" w:rsidRDefault="001B08E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  <w:r w:rsidRPr="0025751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Микропредприятия</w:t>
      </w:r>
      <w:proofErr w:type="spellEnd"/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малые предприятия составили более 80% (629 и 200 единиц, соответственно) с величиной годового оборота до 120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 рублей и от 120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 xml:space="preserve"> до 800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 рублей, соответственно. Крупные и сре</w:t>
      </w:r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B22F3">
        <w:rPr>
          <w:rFonts w:ascii="Times New Roman" w:eastAsia="Times New Roman" w:hAnsi="Times New Roman"/>
          <w:sz w:val="28"/>
          <w:szCs w:val="28"/>
          <w:lang w:eastAsia="ru-RU"/>
        </w:rPr>
        <w:t>ние предприятия составили 10% (102 единицы) и 8% (83 единицы) из общего числа опрошенных субъектов, соответственно.</w:t>
      </w:r>
    </w:p>
    <w:p w:rsidR="001B08E1" w:rsidRPr="00287F3B" w:rsidRDefault="001B08E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B08E1" w:rsidRPr="005308EF" w:rsidRDefault="001B08E1" w:rsidP="00AC065C">
      <w:pPr>
        <w:tabs>
          <w:tab w:val="left" w:pos="993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>Величина годового оборота бизнеса</w:t>
      </w:r>
    </w:p>
    <w:p w:rsidR="001B08E1" w:rsidRPr="000B22F3" w:rsidRDefault="001B08E1" w:rsidP="00AC065C">
      <w:pPr>
        <w:tabs>
          <w:tab w:val="left" w:pos="993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E1" w:rsidRPr="000B22F3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A3068E" wp14:editId="6E3F477B">
            <wp:extent cx="4781550" cy="2552700"/>
            <wp:effectExtent l="0" t="0" r="19050" b="1905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целом п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о результатам опроса большинство предпринимателей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т, что для сохранения рыночной позиции в сфере их бизнеса необходимо рег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лярно (раз в год или чаще) предпринимать меры по повышению конкурент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способности продукции, работ, услуг (снижение цен, повышение качества, ра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витие сопутствующих услуг) и находить новые способы её повышения, не и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пользуемые компанией ранее, что конкуренция в сфере их деятельности: «ум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ренная» (38,6% опрошенных), «высокая» (28,1</w:t>
      </w:r>
      <w:proofErr w:type="gramEnd"/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опрошенных), «очень выс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кая» (13,3% опрошенных),  Слабость конкуренции и её отсутствие на целевом рынке отмечают 12,6% и 5,8 % представителей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соответственно.</w:t>
      </w:r>
      <w:proofErr w:type="gramEnd"/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 xml:space="preserve"> Оц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248">
        <w:rPr>
          <w:rFonts w:ascii="Times New Roman" w:eastAsia="Times New Roman" w:hAnsi="Times New Roman"/>
          <w:sz w:val="28"/>
          <w:szCs w:val="28"/>
          <w:lang w:eastAsia="ru-RU"/>
        </w:rPr>
        <w:t>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конкуренции на представляемом рынке затруднились 1,6%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принимателей.</w:t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53" w:rsidRPr="005308EF" w:rsidRDefault="00805553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Результаты анализа уровня конкуренции хозяйствующими субъектами</w:t>
      </w:r>
    </w:p>
    <w:p w:rsidR="00805553" w:rsidRPr="00246248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53" w:rsidRPr="00246248" w:rsidRDefault="00805553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A627FB" wp14:editId="5D588A0B">
            <wp:extent cx="6048375" cy="3067050"/>
            <wp:effectExtent l="0" t="0" r="9525" b="1905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666">
        <w:rPr>
          <w:rFonts w:ascii="Times New Roman" w:eastAsia="Times New Roman" w:hAnsi="Times New Roman"/>
          <w:sz w:val="28"/>
          <w:szCs w:val="28"/>
          <w:lang w:eastAsia="ru-RU"/>
        </w:rPr>
        <w:t>Участниками опроса была охарактеризована деятельность органов власти на основном для бизнеса рынке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опроса можно сделать вывод, что отношение представ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бизнеса к работе власти довольно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однозначно.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proofErr w:type="gramStart"/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ответивших</w:t>
      </w:r>
      <w:proofErr w:type="gramEnd"/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 уд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влетворена действиями власти. Так,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участников опроса отметили, что органы власти помогают их бизнесу своими действиями,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% – довольны тем, что органы власти не вмешиваются в их бизнес.</w:t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53" w:rsidRDefault="00805553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4BB3D" wp14:editId="387FD493">
            <wp:extent cx="5953125" cy="3381375"/>
            <wp:effectExtent l="0" t="0" r="9525" b="952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Недовольство органами власти выразил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и: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11,5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% предпринимателей, о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метив бездействие органов власти, в то время как их участие, по мнению опр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шенных, необходи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мо, а 7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% хозяйствующих субъектов указали, что органы вл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сти мешают своими действиями их бизнесу. При этом</w:t>
      </w:r>
      <w:proofErr w:type="gramStart"/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отметить,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чительная часть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44,1</w:t>
      </w:r>
      <w:r w:rsidRPr="007C7015">
        <w:rPr>
          <w:rFonts w:ascii="Times New Roman" w:eastAsia="Times New Roman" w:hAnsi="Times New Roman"/>
          <w:sz w:val="28"/>
          <w:szCs w:val="28"/>
          <w:lang w:eastAsia="ru-RU"/>
        </w:rPr>
        <w:t>% участников опроса считают, что некоторые действия органов власти помогают, а другие мешают их деятельности.</w:t>
      </w:r>
    </w:p>
    <w:p w:rsidR="00805553" w:rsidRDefault="00805553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E1" w:rsidRDefault="001B08E1" w:rsidP="00AC065C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08E1">
        <w:rPr>
          <w:rFonts w:ascii="Times New Roman" w:eastAsia="Times New Roman" w:hAnsi="Times New Roman"/>
          <w:i/>
          <w:sz w:val="28"/>
          <w:szCs w:val="28"/>
          <w:lang w:eastAsia="ru-RU"/>
        </w:rPr>
        <w:t>Количество потребителей товаров и ус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луг, принявших участие в опросе</w:t>
      </w:r>
    </w:p>
    <w:p w:rsidR="00E92AE3" w:rsidRPr="001B08E1" w:rsidRDefault="00E92AE3" w:rsidP="00AC065C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B08E1" w:rsidRPr="00612E93" w:rsidRDefault="00E92AE3" w:rsidP="00AC065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D073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</w:p>
    <w:tbl>
      <w:tblPr>
        <w:tblW w:w="872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464"/>
        <w:gridCol w:w="3299"/>
      </w:tblGrid>
      <w:tr w:rsidR="001B08E1" w:rsidRPr="00612E93" w:rsidTr="00E92AE3">
        <w:trPr>
          <w:trHeight w:val="32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Категория граждан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опрошенных</w:t>
            </w:r>
            <w:proofErr w:type="gramEnd"/>
          </w:p>
        </w:tc>
      </w:tr>
      <w:tr w:rsidR="001B08E1" w:rsidRPr="00612E93" w:rsidTr="00E92AE3">
        <w:trPr>
          <w:trHeight w:val="322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Безработные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334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Домохозяйка (домохозяин)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210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Учащиеся / студенты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590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Пенсионеры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618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Работающие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5385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Другое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E1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</w:tr>
      <w:tr w:rsidR="001B08E1" w:rsidRPr="00612E93" w:rsidTr="00E92A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12E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1" w:rsidRPr="00612E93" w:rsidRDefault="001B08E1" w:rsidP="00F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7205</w:t>
            </w:r>
          </w:p>
        </w:tc>
      </w:tr>
    </w:tbl>
    <w:p w:rsidR="001B08E1" w:rsidRDefault="001B08E1" w:rsidP="00AC065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E1" w:rsidRPr="005308EF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8EF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 социального статуса участников опроса</w:t>
      </w:r>
    </w:p>
    <w:p w:rsidR="001B08E1" w:rsidRPr="009136CC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8E1" w:rsidRPr="0011278D" w:rsidRDefault="001B08E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0AD4D6" wp14:editId="0993C985">
            <wp:extent cx="4953000" cy="2457450"/>
            <wp:effectExtent l="0" t="0" r="19050" b="1905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08E1" w:rsidRDefault="001B08E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E1" w:rsidRPr="0063531E" w:rsidRDefault="001B08E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Анализ социального статуса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анкетирования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¾ 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опрошенного населения имеет постоянное место работы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5385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опрошенных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618 человек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на пенсии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>рохо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дят 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590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ловек, еще 334 человека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опроса являлись не трудоустроенными. Вс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>го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отнесли себя к домохозяйкам и </w:t>
      </w:r>
      <w:proofErr w:type="spellStart"/>
      <w:r w:rsidRPr="00571465">
        <w:rPr>
          <w:rFonts w:ascii="Times New Roman" w:eastAsia="Times New Roman" w:hAnsi="Times New Roman"/>
          <w:sz w:val="28"/>
          <w:szCs w:val="28"/>
          <w:lang w:eastAsia="ru-RU"/>
        </w:rPr>
        <w:t>домохозяи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68 человек – не смогли отнести себя ни к одной и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категорий.</w:t>
      </w:r>
    </w:p>
    <w:p w:rsidR="00BC44D1" w:rsidRDefault="00BC44D1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21" w:rsidRDefault="00E51721" w:rsidP="00E7768B">
      <w:pPr>
        <w:spacing w:after="0" w:line="276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0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дошкольного образования.</w:t>
      </w:r>
    </w:p>
    <w:p w:rsid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04E3" w:rsidRPr="001B04E3" w:rsidRDefault="003D3234" w:rsidP="00AC065C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удовлетворения населения услугами дошкольного образования на территории муниципального образования по состоянию на 01.01.201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ционирует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167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3D25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B04E3" w:rsidRPr="001B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04E3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r w:rsidR="00146088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негосударственных </w:t>
      </w:r>
      <w:r w:rsidR="001B04E3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учреждения.</w:t>
      </w:r>
    </w:p>
    <w:p w:rsidR="001B04E3" w:rsidRPr="001B04E3" w:rsidRDefault="001B04E3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B04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Основные показатели рынка дошкольного образования</w:t>
      </w:r>
    </w:p>
    <w:p w:rsidR="001B04E3" w:rsidRPr="001B04E3" w:rsidRDefault="001B04E3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B04E3" w:rsidRPr="001B04E3" w:rsidRDefault="001B04E3" w:rsidP="00AC065C">
      <w:pPr>
        <w:spacing w:after="0" w:line="276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161"/>
        <w:gridCol w:w="1161"/>
        <w:gridCol w:w="1161"/>
        <w:gridCol w:w="1303"/>
        <w:gridCol w:w="1304"/>
      </w:tblGrid>
      <w:tr w:rsidR="001B04E3" w:rsidRPr="009D507B" w:rsidTr="00146088">
        <w:trPr>
          <w:tblHeader/>
          <w:jc w:val="center"/>
        </w:trPr>
        <w:tc>
          <w:tcPr>
            <w:tcW w:w="3644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1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161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161" w:type="dxa"/>
          </w:tcPr>
          <w:p w:rsidR="001B04E3" w:rsidRPr="007C656A" w:rsidRDefault="00146088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  <w:tc>
          <w:tcPr>
            <w:tcW w:w="1303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</w:t>
            </w:r>
            <w:r w:rsidR="00146088"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/201</w:t>
            </w:r>
            <w:r w:rsidR="00146088"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304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</w:t>
            </w:r>
            <w:r w:rsidR="00146088"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/201</w:t>
            </w:r>
            <w:r w:rsidR="00146088"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1B04E3" w:rsidRPr="009D507B" w:rsidTr="00146088">
        <w:trPr>
          <w:jc w:val="center"/>
        </w:trPr>
        <w:tc>
          <w:tcPr>
            <w:tcW w:w="3644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МДОУ, единиц</w:t>
            </w:r>
          </w:p>
        </w:tc>
        <w:tc>
          <w:tcPr>
            <w:tcW w:w="1161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161" w:type="dxa"/>
            <w:shd w:val="clear" w:color="auto" w:fill="auto"/>
          </w:tcPr>
          <w:p w:rsidR="001B04E3" w:rsidRPr="007C656A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1161" w:type="dxa"/>
          </w:tcPr>
          <w:p w:rsidR="001B04E3" w:rsidRPr="007C656A" w:rsidRDefault="00146088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167</w:t>
            </w:r>
          </w:p>
        </w:tc>
        <w:tc>
          <w:tcPr>
            <w:tcW w:w="1303" w:type="dxa"/>
            <w:shd w:val="clear" w:color="auto" w:fill="auto"/>
          </w:tcPr>
          <w:p w:rsidR="001B04E3" w:rsidRPr="007C656A" w:rsidRDefault="007D0730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1304" w:type="dxa"/>
            <w:shd w:val="clear" w:color="auto" w:fill="auto"/>
          </w:tcPr>
          <w:p w:rsidR="001B04E3" w:rsidRPr="007C656A" w:rsidRDefault="007D0730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C656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104,4</w:t>
            </w:r>
          </w:p>
        </w:tc>
      </w:tr>
      <w:tr w:rsidR="001B04E3" w:rsidRPr="009D507B" w:rsidTr="00146088">
        <w:trPr>
          <w:jc w:val="center"/>
        </w:trPr>
        <w:tc>
          <w:tcPr>
            <w:tcW w:w="3644" w:type="dxa"/>
            <w:shd w:val="clear" w:color="auto" w:fill="auto"/>
          </w:tcPr>
          <w:p w:rsidR="001B04E3" w:rsidRPr="00630291" w:rsidRDefault="001B04E3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негосударственных ДОУ, единиц</w:t>
            </w:r>
          </w:p>
        </w:tc>
        <w:tc>
          <w:tcPr>
            <w:tcW w:w="1161" w:type="dxa"/>
            <w:shd w:val="clear" w:color="auto" w:fill="auto"/>
          </w:tcPr>
          <w:p w:rsidR="001B04E3" w:rsidRPr="00630291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1B04E3" w:rsidRPr="00630291" w:rsidRDefault="001B04E3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1" w:type="dxa"/>
          </w:tcPr>
          <w:p w:rsidR="001B04E3" w:rsidRPr="00630291" w:rsidRDefault="00146088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1B04E3" w:rsidRPr="00630291" w:rsidRDefault="007D0730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146,7</w:t>
            </w:r>
          </w:p>
        </w:tc>
        <w:tc>
          <w:tcPr>
            <w:tcW w:w="1304" w:type="dxa"/>
            <w:shd w:val="clear" w:color="auto" w:fill="auto"/>
          </w:tcPr>
          <w:p w:rsidR="001B04E3" w:rsidRPr="00630291" w:rsidRDefault="007D0730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3029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275,0</w:t>
            </w:r>
          </w:p>
        </w:tc>
      </w:tr>
    </w:tbl>
    <w:p w:rsidR="001B04E3" w:rsidRDefault="001B04E3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1B04E3" w:rsidRDefault="001B04E3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рост детского населения, связанный как с увеличением 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даемости в городе, так и с миграционными процессами, сказывается на </w:t>
      </w:r>
      <w:r w:rsidRPr="00981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</w:t>
      </w:r>
      <w:r w:rsidRPr="00981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81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чении количества детей, состоящих на очереди на получение места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81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дети в возрасте от 3-х до 7 лет обеспечены местами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детских садах.</w:t>
      </w:r>
    </w:p>
    <w:p w:rsidR="001B04E3" w:rsidRDefault="001B04E3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мест в дошкольных организациях постоянно растет:</w:t>
      </w:r>
    </w:p>
    <w:p w:rsidR="001B04E3" w:rsidRPr="00BC7CB6" w:rsidRDefault="001B04E3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Pr="00BC7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году дополнительно введено 1710 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04E3" w:rsidRDefault="001B04E3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Pr="00F72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году введено 10072 места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04E3" w:rsidRDefault="001B04E3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2016 году введено 2260 мест.</w:t>
      </w:r>
      <w:r w:rsidRPr="00F72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04E3" w:rsidRDefault="001B04E3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дется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по модернизации и эффективному и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пользованию пространства помещений групп. </w:t>
      </w:r>
      <w:proofErr w:type="gramStart"/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Организовывалась и проводилась</w:t>
      </w:r>
      <w:proofErr w:type="gramEnd"/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по созданию частных детских садов во встроенно-пристроенных пом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04E3" w:rsidRDefault="001B04E3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122572" w:rsidRDefault="00E51721" w:rsidP="00AC065C">
      <w:pPr>
        <w:tabs>
          <w:tab w:val="left" w:pos="993"/>
        </w:tabs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25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дошкольного образования</w:t>
      </w:r>
    </w:p>
    <w:p w:rsidR="00E51721" w:rsidRPr="00122572" w:rsidRDefault="00E51721" w:rsidP="00AC065C">
      <w:pPr>
        <w:tabs>
          <w:tab w:val="left" w:pos="993"/>
        </w:tabs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122572" w:rsidRDefault="00E51721" w:rsidP="00F2001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населения города –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3235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считает, что на рынке услуг дошкольного образования представлено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достаточное кол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чество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порядка 23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1721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уверены в том, что организ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ций на данном рынке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избыточно (много)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51721" w:rsidRPr="00122572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2099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жителей ответили, что компаний, занятых в данной сфере услуг,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а 2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Pr="0012257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считают, что </w:t>
      </w:r>
      <w:r w:rsidR="00122572" w:rsidRPr="00122572">
        <w:rPr>
          <w:rFonts w:ascii="Times New Roman" w:eastAsia="Times New Roman" w:hAnsi="Times New Roman"/>
          <w:sz w:val="28"/>
          <w:szCs w:val="28"/>
          <w:lang w:eastAsia="ru-RU"/>
        </w:rPr>
        <w:t>организаций в сфере услуг дошкольного образования нет совсем.</w:t>
      </w:r>
    </w:p>
    <w:p w:rsidR="00E51721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E51721" w:rsidRDefault="00E5172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12257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A6BA81" wp14:editId="684D8967">
            <wp:extent cx="4133850" cy="2457450"/>
            <wp:effectExtent l="0" t="0" r="19050" b="1905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2572" w:rsidRDefault="00122572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E51721" w:rsidRPr="00071219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удовлетворенности населения краевого центра характеристиками  товаров и услуг на рынке дошкольного образования достаточно высокая. 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Более 60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4419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18,5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1339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опрошенных ответили, что 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«удовл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творены» и 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«скорее удовлетворены» характеристиками товаров и услуг, пре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на рынке дошкольного образования, соответственно. Ответ «скорее не удовлетворен» и «не удовлетворен» дали 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1036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около 6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71219" w:rsidRPr="00071219">
        <w:rPr>
          <w:rFonts w:ascii="Times New Roman" w:eastAsia="Times New Roman" w:hAnsi="Times New Roman"/>
          <w:sz w:val="28"/>
          <w:szCs w:val="28"/>
          <w:lang w:eastAsia="ru-RU"/>
        </w:rPr>
        <w:t>411</w:t>
      </w:r>
      <w:r w:rsidRPr="000712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из числа участвующих в анкетировании. </w:t>
      </w:r>
    </w:p>
    <w:p w:rsid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9D2A82" wp14:editId="05747AE5">
            <wp:extent cx="4343400" cy="2390775"/>
            <wp:effectExtent l="0" t="0" r="19050" b="9525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1219" w:rsidRDefault="00071219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AE3" w:rsidRDefault="00E92AE3" w:rsidP="00F2001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хозяйствующих субъектов из числа опрошенных – порядка 63%, осуществляющих деятельность на рынке дошкольного образования,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считают, что ввиду </w:t>
      </w:r>
      <w:r w:rsidRPr="006C5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6C5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C5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частного сектора на рынке образ</w:t>
      </w:r>
      <w:r w:rsidRPr="006C5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C5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конкуренция в сфере их деятельности «умеренная» и «слабая», для сохранения рыночной позиции их б</w:t>
      </w:r>
      <w:r w:rsidRPr="008A5B70">
        <w:rPr>
          <w:rFonts w:ascii="Times New Roman" w:eastAsia="Times New Roman" w:hAnsi="Times New Roman"/>
          <w:sz w:val="28"/>
          <w:szCs w:val="28"/>
          <w:lang w:eastAsia="ru-RU"/>
        </w:rPr>
        <w:t xml:space="preserve">изнеса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периодически</w:t>
      </w:r>
      <w:r w:rsidRPr="008A5B7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потреб</w:t>
      </w:r>
      <w:r w:rsidRPr="008A5B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5B70">
        <w:rPr>
          <w:rFonts w:ascii="Times New Roman" w:eastAsia="Times New Roman" w:hAnsi="Times New Roman"/>
          <w:sz w:val="28"/>
          <w:szCs w:val="28"/>
          <w:lang w:eastAsia="ru-RU"/>
        </w:rPr>
        <w:t>ваться реализация мер по повышению конкурентоспособ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предлагаемых</w:t>
      </w:r>
      <w:r w:rsidRPr="008A5B7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Более 28% принявших участие в опросе считают, что на данном рынке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конкуренция «очень высокая» и «высокая». Чуть более 8,5% считают, что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куренция в сфере дошкольного образования отсутствует.</w:t>
      </w:r>
    </w:p>
    <w:p w:rsidR="00E92AE3" w:rsidRDefault="00E92AE3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AE3" w:rsidRDefault="00E92AE3" w:rsidP="00AC065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B6979" wp14:editId="452A3AD5">
            <wp:extent cx="4381500" cy="2447925"/>
            <wp:effectExtent l="0" t="0" r="19050" b="9525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2AE3" w:rsidRDefault="00E92AE3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AE3" w:rsidRDefault="00E92AE3" w:rsidP="00AC065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части оценки деятельности органов власти на данном рынке более 85% опрошенных считают, что о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рганы власти помогают бизнесу своими действи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200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однако 47% из них уточняют, что в чем-то органы власти и мешают бизн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су. Около 8,5% предпринимателей считают, что участие органов власти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ходимо, и лишь 6% опрошенных – что только мешает. 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Проблемами развития конкуренции в сфере образования в городе</w:t>
      </w:r>
      <w:r w:rsid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 w:rsid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должают оставаться</w:t>
      </w: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недостаточное развитие частного сектора на рынке образовательных услуг и вариативных форм дошкольного образования;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доступа негосударственных организаций к государственному заданию на оказание образовательных услуг.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вышеуказанных проблем необходимо: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дальнейшее </w:t>
      </w: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новых форм дошкольного образования (группы кратковременного пребывания детей, частное дошкольное образование);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внедрение принципов прозрачности и ответственности образовательных учреждений, устанавливающих возможности для справедливой конкуренции;</w:t>
      </w:r>
    </w:p>
    <w:p w:rsidR="00E51721" w:rsidRP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открытости информации, содержащейся в реестрах лице</w:t>
      </w: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51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зий и свидетельств о государственной аккредитации, для ознакомления с ней физических и юридических лиц.</w:t>
      </w:r>
    </w:p>
    <w:p w:rsid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7768B" w:rsidRPr="00E51721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Рынок услуг детского отдыха и оздоровления.</w:t>
      </w:r>
    </w:p>
    <w:p w:rsidR="00B30F3B" w:rsidRDefault="00B30F3B" w:rsidP="00AC06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F3B" w:rsidRDefault="00B30F3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детского отдыха и оздоровления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территории муниц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пального образования город Краснодар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– 2016 годах 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 подв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домственными учреждениями: </w:t>
      </w:r>
    </w:p>
    <w:p w:rsidR="00B30F3B" w:rsidRDefault="00B30F3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спортивно-оздоровительный  центр «Ольгинка» 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оселок Ольгинка);</w:t>
      </w:r>
    </w:p>
    <w:p w:rsidR="00B30F3B" w:rsidRDefault="00B30F3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оздоровительный центр «Краснодарская смена»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(город </w:t>
      </w:r>
      <w:r w:rsidRPr="000B0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Анапа).  </w:t>
      </w:r>
    </w:p>
    <w:p w:rsidR="00B30F3B" w:rsidRPr="00B30F3B" w:rsidRDefault="00B30F3B" w:rsidP="006850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Краснодаре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функционирует ряд лечебно-профилактических учреждений, среди которых – уникальное медицинское учреждение </w:t>
      </w:r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ОАО «Центр восстановительной медицины и реабилитации «Краснодарская </w:t>
      </w:r>
      <w:proofErr w:type="spellStart"/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>бальнеолечебница</w:t>
      </w:r>
      <w:proofErr w:type="spellEnd"/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>», имеющая собственный питьевой бювет с минеральной в</w:t>
      </w:r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>дой и комплекс услуг лечебного профиля, а также 4 санатория</w:t>
      </w:r>
      <w:r w:rsidR="006850F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3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ГБУЗ детский санаторий для больных и инфицированных туберкулезом «Василек», 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ГБУЗ «Детский противотуберкулезный санаторий «Ромашка», ГБУЗ «Детский сан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торий Тополек», ГБУЗ «Краевой детский центр медицинский реабилитации</w:t>
      </w:r>
      <w:proofErr w:type="gramEnd"/>
      <w:r w:rsidRPr="00B30F3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МЗКК». </w:t>
      </w:r>
    </w:p>
    <w:p w:rsid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071219" w:rsidRDefault="00E51721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детского отдыха и оздоровления</w:t>
      </w:r>
    </w:p>
    <w:p w:rsidR="00E51721" w:rsidRPr="00071219" w:rsidRDefault="00E51721" w:rsidP="00AC065C">
      <w:pPr>
        <w:tabs>
          <w:tab w:val="left" w:pos="993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F00D0F" w:rsidRDefault="00286A4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Оценивая </w:t>
      </w:r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F2001A" w:rsidRPr="00F20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01A" w:rsidRPr="00F00D0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деятельность в сфере услуг детского отдыха и оздоровления,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>а достаточный и избыточный объём предложения на данном рынке указали 38% (2767 человек) жителей и 23% (1680 человек) опрошенных граждан. Однако</w:t>
      </w:r>
      <w:proofErr w:type="gramStart"/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071219"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>асть жителей считают, что организаций в сфере детского отдыха и оздоровления недостаточно и нет с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– 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>2451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F00D0F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="00E51721" w:rsidRPr="00F00D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соответственно. </w:t>
      </w:r>
    </w:p>
    <w:p w:rsidR="00071219" w:rsidRPr="00F00D0F" w:rsidRDefault="00071219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219" w:rsidRPr="00F00D0F" w:rsidRDefault="00071219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D0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1FE6E2" wp14:editId="62E915FC">
            <wp:extent cx="4324350" cy="2343150"/>
            <wp:effectExtent l="0" t="0" r="19050" b="1905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1219" w:rsidRPr="00F00D0F" w:rsidRDefault="00071219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219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0D0F">
        <w:rPr>
          <w:rFonts w:ascii="Times New Roman" w:hAnsi="Times New Roman"/>
          <w:sz w:val="28"/>
          <w:szCs w:val="28"/>
        </w:rPr>
        <w:lastRenderedPageBreak/>
        <w:t xml:space="preserve">По поводу удовлетворения характеристиками товаров и услуг на рынке детского отдыха и оздоровления мнения участников анкетирования </w:t>
      </w:r>
      <w:r w:rsidR="00286A45" w:rsidRPr="00F00D0F">
        <w:rPr>
          <w:rFonts w:ascii="Times New Roman" w:hAnsi="Times New Roman"/>
          <w:sz w:val="28"/>
          <w:szCs w:val="28"/>
        </w:rPr>
        <w:t>сошлись в большинстве случаев: 73%</w:t>
      </w:r>
      <w:r w:rsidRPr="00F00D0F">
        <w:rPr>
          <w:rFonts w:ascii="Times New Roman" w:hAnsi="Times New Roman"/>
          <w:sz w:val="28"/>
          <w:szCs w:val="28"/>
        </w:rPr>
        <w:t xml:space="preserve"> населения (</w:t>
      </w:r>
      <w:r w:rsidR="00286A45" w:rsidRPr="00F00D0F">
        <w:rPr>
          <w:rFonts w:ascii="Times New Roman" w:hAnsi="Times New Roman"/>
          <w:sz w:val="28"/>
          <w:szCs w:val="28"/>
        </w:rPr>
        <w:t>5282 человека</w:t>
      </w:r>
      <w:r w:rsidRPr="00F00D0F">
        <w:rPr>
          <w:rFonts w:ascii="Times New Roman" w:hAnsi="Times New Roman"/>
          <w:sz w:val="28"/>
          <w:szCs w:val="28"/>
        </w:rPr>
        <w:t>) выражает удовлетворе</w:t>
      </w:r>
      <w:r w:rsidRPr="00F00D0F">
        <w:rPr>
          <w:rFonts w:ascii="Times New Roman" w:hAnsi="Times New Roman"/>
          <w:sz w:val="28"/>
          <w:szCs w:val="28"/>
        </w:rPr>
        <w:t>н</w:t>
      </w:r>
      <w:r w:rsidRPr="00F00D0F">
        <w:rPr>
          <w:rFonts w:ascii="Times New Roman" w:hAnsi="Times New Roman"/>
          <w:sz w:val="28"/>
          <w:szCs w:val="28"/>
        </w:rPr>
        <w:t>ность данным критерием, в том числе полную (</w:t>
      </w:r>
      <w:r w:rsidR="00286A45" w:rsidRPr="00F00D0F">
        <w:rPr>
          <w:rFonts w:ascii="Times New Roman" w:hAnsi="Times New Roman"/>
          <w:sz w:val="28"/>
          <w:szCs w:val="28"/>
        </w:rPr>
        <w:t xml:space="preserve">4172 </w:t>
      </w:r>
      <w:r w:rsidRPr="00F00D0F">
        <w:rPr>
          <w:rFonts w:ascii="Times New Roman" w:hAnsi="Times New Roman"/>
          <w:sz w:val="28"/>
          <w:szCs w:val="28"/>
        </w:rPr>
        <w:t xml:space="preserve">человека). </w:t>
      </w:r>
      <w:proofErr w:type="gramStart"/>
      <w:r w:rsidR="00F00D0F" w:rsidRPr="00F00D0F">
        <w:rPr>
          <w:rFonts w:ascii="Times New Roman" w:hAnsi="Times New Roman"/>
          <w:sz w:val="28"/>
          <w:szCs w:val="28"/>
        </w:rPr>
        <w:t>При этом</w:t>
      </w:r>
      <w:r w:rsidRPr="00F00D0F">
        <w:rPr>
          <w:rFonts w:ascii="Times New Roman" w:hAnsi="Times New Roman"/>
          <w:sz w:val="28"/>
          <w:szCs w:val="28"/>
        </w:rPr>
        <w:t xml:space="preserve"> часть опрошенных – </w:t>
      </w:r>
      <w:r w:rsidR="00F00D0F" w:rsidRPr="00F00D0F">
        <w:rPr>
          <w:rFonts w:ascii="Times New Roman" w:hAnsi="Times New Roman"/>
          <w:sz w:val="28"/>
          <w:szCs w:val="28"/>
        </w:rPr>
        <w:t>около 18</w:t>
      </w:r>
      <w:r w:rsidRPr="00F00D0F">
        <w:rPr>
          <w:rFonts w:ascii="Times New Roman" w:hAnsi="Times New Roman"/>
          <w:sz w:val="28"/>
          <w:szCs w:val="28"/>
        </w:rPr>
        <w:t>% (</w:t>
      </w:r>
      <w:r w:rsidR="00F00D0F" w:rsidRPr="00F00D0F">
        <w:rPr>
          <w:rFonts w:ascii="Times New Roman" w:hAnsi="Times New Roman"/>
          <w:sz w:val="28"/>
          <w:szCs w:val="28"/>
        </w:rPr>
        <w:t>1273</w:t>
      </w:r>
      <w:r w:rsidRPr="00F00D0F">
        <w:rPr>
          <w:rFonts w:ascii="Times New Roman" w:hAnsi="Times New Roman"/>
          <w:sz w:val="28"/>
          <w:szCs w:val="28"/>
        </w:rPr>
        <w:t xml:space="preserve"> человек</w:t>
      </w:r>
      <w:r w:rsidR="00F00D0F" w:rsidRPr="00F00D0F">
        <w:rPr>
          <w:rFonts w:ascii="Times New Roman" w:hAnsi="Times New Roman"/>
          <w:sz w:val="28"/>
          <w:szCs w:val="28"/>
        </w:rPr>
        <w:t>а</w:t>
      </w:r>
      <w:r w:rsidRPr="00F00D0F">
        <w:rPr>
          <w:rFonts w:ascii="Times New Roman" w:hAnsi="Times New Roman"/>
          <w:sz w:val="28"/>
          <w:szCs w:val="28"/>
        </w:rPr>
        <w:t>) указала ответ «скорее не удовлетворен</w:t>
      </w:r>
      <w:r w:rsidR="00F00D0F" w:rsidRPr="00F00D0F">
        <w:rPr>
          <w:rFonts w:ascii="Times New Roman" w:hAnsi="Times New Roman"/>
          <w:sz w:val="28"/>
          <w:szCs w:val="28"/>
        </w:rPr>
        <w:t>» и 9</w:t>
      </w:r>
      <w:r w:rsidRPr="00F00D0F">
        <w:rPr>
          <w:rFonts w:ascii="Times New Roman" w:hAnsi="Times New Roman"/>
          <w:sz w:val="28"/>
          <w:szCs w:val="28"/>
        </w:rPr>
        <w:t>% (</w:t>
      </w:r>
      <w:r w:rsidR="00F00D0F" w:rsidRPr="00F00D0F">
        <w:rPr>
          <w:rFonts w:ascii="Times New Roman" w:hAnsi="Times New Roman"/>
          <w:sz w:val="28"/>
          <w:szCs w:val="28"/>
        </w:rPr>
        <w:t>650</w:t>
      </w:r>
      <w:r w:rsidRPr="00F00D0F">
        <w:rPr>
          <w:rFonts w:ascii="Times New Roman" w:hAnsi="Times New Roman"/>
          <w:sz w:val="28"/>
          <w:szCs w:val="28"/>
        </w:rPr>
        <w:t xml:space="preserve"> человек) – «не удовлетворен». </w:t>
      </w:r>
      <w:proofErr w:type="gramEnd"/>
    </w:p>
    <w:p w:rsidR="00711C51" w:rsidRPr="00F00D0F" w:rsidRDefault="00711C5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219" w:rsidRPr="00071219" w:rsidRDefault="00071219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121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FD52FF" wp14:editId="6B65B875">
            <wp:extent cx="4514850" cy="2457450"/>
            <wp:effectExtent l="0" t="0" r="19050" b="1905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1219" w:rsidRPr="00071219" w:rsidRDefault="00071219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C51" w:rsidRDefault="00711C5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 общего количества опрошенных предпринимателей, предоставляющих услуги в сфере детского отдыха и оздоровления, ½ считают, что конкуренция на их целевом рынке «умеренная»</w:t>
      </w:r>
      <w:r w:rsidRPr="004B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следствие недостаточного количества хозяйствующих субъектов рынка и высокого уровня спроса на предоставля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услуги;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еще 16,7% считают конкуренцию «слабой», однако 33,3% оценили уровень конкуренции на данном рынке как «высокий». </w:t>
      </w:r>
      <w:proofErr w:type="gramEnd"/>
    </w:p>
    <w:p w:rsidR="009D507B" w:rsidRDefault="009D507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51" w:rsidRDefault="00711C5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86246B5" wp14:editId="2D3F5E4E">
            <wp:extent cx="4514850" cy="2428875"/>
            <wp:effectExtent l="0" t="0" r="19050" b="952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1C51" w:rsidRDefault="00711C5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51" w:rsidRDefault="00711C5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отношению к деятельности органов власти на рынке услуг детского отдыха и оздоровления мнения участников анкетирования разделились поро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ну: треть считает, что о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рганы власти ничего не предпринимают, что и требуе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треть – что 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>их участие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еще треть – что в</w:t>
      </w:r>
      <w:r w:rsidRPr="009C4F6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чем-то органы власти помогают, в чем-то мешают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бизнесу.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Основополагающие проблемы рынка детского отдыха и оздоровления</w:t>
      </w:r>
      <w:r w:rsid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остаются прежни</w:t>
      </w:r>
      <w:r w:rsid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недостаточное количество хозяйствующих субъектов рынка;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спроса на предоставляемые услуги;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слабая государственная поддержка развития этой отрасли;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слабая дифференциация предлагаемых услуг и отсутствие должного профессионализма для работы в сфере детского оздоровления. </w:t>
      </w:r>
    </w:p>
    <w:p w:rsidR="00E51721" w:rsidRPr="00071219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решении данных проблем у этого сектора социальной сферы имею</w:t>
      </w: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все предпосылки для развития и конкурентоспособного роста.</w:t>
      </w:r>
    </w:p>
    <w:p w:rsidR="00E51721" w:rsidRPr="00071219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1721" w:rsidRPr="00071219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2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дополнительного образования детей.</w:t>
      </w: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146088" w:rsidRDefault="00146088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– 2016 годах в системе дополнительного образования и воспит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работы в муниципальном образовании город Краснодар осуществляли деятельность 27 учреждений дополнительного образования детей, в том числе:</w:t>
      </w:r>
    </w:p>
    <w:p w:rsidR="00146088" w:rsidRDefault="00146088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- 14 детских многопрофильных учреждений (центров и домов творч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ства);</w:t>
      </w:r>
    </w:p>
    <w:p w:rsidR="00146088" w:rsidRDefault="00146088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- 10 учреждений спортивной направленности;</w:t>
      </w:r>
    </w:p>
    <w:p w:rsidR="00146088" w:rsidRDefault="00146088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- 3 детских школы искусств. </w:t>
      </w:r>
    </w:p>
    <w:p w:rsidR="00146088" w:rsidRDefault="00146088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Численность детей и молодёжи в возрасте от 5 до 18 лет, получающих услуги по дополнительному образованию в учреждениях различной направле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ности, ежегодно растёт. Общий охват учащихся за три года увеличился до 89,5%. В организациях дополнительного образования обучаются свыше 55,0 тысяч детей.</w:t>
      </w: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A802B0" w:rsidRDefault="00E51721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дополнительного образования детей</w:t>
      </w:r>
    </w:p>
    <w:p w:rsidR="00E51721" w:rsidRPr="00A802B0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B0" w:rsidRDefault="00A802B0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</w:t>
      </w:r>
      <w:r w:rsidR="00E51721" w:rsidRPr="00A802B0">
        <w:rPr>
          <w:rFonts w:ascii="Times New Roman" w:hAnsi="Times New Roman"/>
          <w:sz w:val="28"/>
          <w:szCs w:val="28"/>
        </w:rPr>
        <w:t xml:space="preserve">половины участников опроса указали на достаточное количество организаций дополнительного образования детей – это </w:t>
      </w:r>
      <w:r>
        <w:rPr>
          <w:rFonts w:ascii="Times New Roman" w:hAnsi="Times New Roman"/>
          <w:sz w:val="28"/>
          <w:szCs w:val="28"/>
        </w:rPr>
        <w:t>49</w:t>
      </w:r>
      <w:r w:rsidR="00E51721" w:rsidRPr="00A802B0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3531</w:t>
      </w:r>
      <w:r w:rsidR="00E51721" w:rsidRPr="00A802B0">
        <w:rPr>
          <w:rFonts w:ascii="Times New Roman" w:hAnsi="Times New Roman"/>
          <w:sz w:val="28"/>
          <w:szCs w:val="28"/>
        </w:rPr>
        <w:t xml:space="preserve"> человек), </w:t>
      </w:r>
      <w:r>
        <w:rPr>
          <w:rFonts w:ascii="Times New Roman" w:hAnsi="Times New Roman"/>
          <w:sz w:val="28"/>
          <w:szCs w:val="28"/>
        </w:rPr>
        <w:t>26</w:t>
      </w:r>
      <w:r w:rsidR="00E51721" w:rsidRPr="00A802B0">
        <w:rPr>
          <w:rFonts w:ascii="Times New Roman" w:hAnsi="Times New Roman"/>
          <w:sz w:val="28"/>
          <w:szCs w:val="28"/>
        </w:rPr>
        <w:t xml:space="preserve">% жителей </w:t>
      </w:r>
      <w:r>
        <w:rPr>
          <w:rFonts w:ascii="Times New Roman" w:hAnsi="Times New Roman"/>
          <w:sz w:val="28"/>
          <w:szCs w:val="28"/>
        </w:rPr>
        <w:t xml:space="preserve">(1885 человек) </w:t>
      </w:r>
      <w:r w:rsidR="00E51721" w:rsidRPr="00A802B0">
        <w:rPr>
          <w:rFonts w:ascii="Times New Roman" w:hAnsi="Times New Roman"/>
          <w:sz w:val="28"/>
          <w:szCs w:val="28"/>
        </w:rPr>
        <w:t>уверены, что организаций дополнительного обр</w:t>
      </w:r>
      <w:r w:rsidR="00E51721" w:rsidRPr="00A802B0">
        <w:rPr>
          <w:rFonts w:ascii="Times New Roman" w:hAnsi="Times New Roman"/>
          <w:sz w:val="28"/>
          <w:szCs w:val="28"/>
        </w:rPr>
        <w:t>а</w:t>
      </w:r>
      <w:r w:rsidR="00E51721" w:rsidRPr="00A802B0">
        <w:rPr>
          <w:rFonts w:ascii="Times New Roman" w:hAnsi="Times New Roman"/>
          <w:sz w:val="28"/>
          <w:szCs w:val="28"/>
        </w:rPr>
        <w:t xml:space="preserve">зования детей в избытке. </w:t>
      </w:r>
      <w:r>
        <w:rPr>
          <w:rFonts w:ascii="Times New Roman" w:hAnsi="Times New Roman"/>
          <w:sz w:val="28"/>
          <w:szCs w:val="28"/>
        </w:rPr>
        <w:t>Ч</w:t>
      </w:r>
      <w:r w:rsidR="00E51721" w:rsidRPr="00A802B0">
        <w:rPr>
          <w:rFonts w:ascii="Times New Roman" w:hAnsi="Times New Roman"/>
          <w:sz w:val="28"/>
          <w:szCs w:val="28"/>
        </w:rPr>
        <w:t>асть опрошенных отметила, что организаций на да</w:t>
      </w:r>
      <w:r w:rsidR="00E51721" w:rsidRPr="00A802B0">
        <w:rPr>
          <w:rFonts w:ascii="Times New Roman" w:hAnsi="Times New Roman"/>
          <w:sz w:val="28"/>
          <w:szCs w:val="28"/>
        </w:rPr>
        <w:t>н</w:t>
      </w:r>
      <w:r w:rsidR="00E51721" w:rsidRPr="00A802B0">
        <w:rPr>
          <w:rFonts w:ascii="Times New Roman" w:hAnsi="Times New Roman"/>
          <w:sz w:val="28"/>
          <w:szCs w:val="28"/>
        </w:rPr>
        <w:t xml:space="preserve">ном рынке представлено недостаточное количество: </w:t>
      </w:r>
      <w:r>
        <w:rPr>
          <w:rFonts w:ascii="Times New Roman" w:hAnsi="Times New Roman"/>
          <w:sz w:val="28"/>
          <w:szCs w:val="28"/>
        </w:rPr>
        <w:t>22</w:t>
      </w:r>
      <w:r w:rsidR="00E51721" w:rsidRPr="00A802B0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1620</w:t>
      </w:r>
      <w:r w:rsidR="00E51721" w:rsidRPr="00A802B0">
        <w:rPr>
          <w:rFonts w:ascii="Times New Roman" w:hAnsi="Times New Roman"/>
          <w:sz w:val="28"/>
          <w:szCs w:val="28"/>
        </w:rPr>
        <w:t xml:space="preserve"> человек), </w:t>
      </w:r>
      <w:r>
        <w:rPr>
          <w:rFonts w:ascii="Times New Roman" w:hAnsi="Times New Roman"/>
          <w:sz w:val="28"/>
          <w:szCs w:val="28"/>
        </w:rPr>
        <w:t>2</w:t>
      </w:r>
      <w:r w:rsidR="00E51721" w:rsidRPr="00A802B0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169</w:t>
      </w:r>
      <w:r w:rsidR="00E51721" w:rsidRPr="00A802B0">
        <w:rPr>
          <w:rFonts w:ascii="Times New Roman" w:hAnsi="Times New Roman"/>
          <w:sz w:val="28"/>
          <w:szCs w:val="28"/>
        </w:rPr>
        <w:t xml:space="preserve"> человек) сочли, что таких организаций в Краснодаре нет совсем. </w:t>
      </w:r>
    </w:p>
    <w:p w:rsidR="00A802B0" w:rsidRDefault="00A802B0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2B0" w:rsidRDefault="00A802B0" w:rsidP="00AC065C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02B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31193ED" wp14:editId="0464D0C8">
            <wp:extent cx="4276725" cy="2390775"/>
            <wp:effectExtent l="0" t="0" r="9525" b="9525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1721" w:rsidRPr="00A802B0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02B0">
        <w:rPr>
          <w:rFonts w:ascii="Times New Roman" w:hAnsi="Times New Roman"/>
          <w:sz w:val="28"/>
          <w:szCs w:val="28"/>
        </w:rPr>
        <w:t xml:space="preserve">  </w:t>
      </w:r>
    </w:p>
    <w:p w:rsidR="00E51721" w:rsidRPr="00A802B0" w:rsidRDefault="00E51721" w:rsidP="00AC065C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02B0">
        <w:rPr>
          <w:rFonts w:ascii="Times New Roman" w:hAnsi="Times New Roman"/>
          <w:sz w:val="28"/>
          <w:szCs w:val="28"/>
        </w:rPr>
        <w:t xml:space="preserve">Большинство опрошенных жителей муниципального образования дали довольно высокую оценку удовлетворенности характеристиками рынка услуг дополнительного образования детей – </w:t>
      </w:r>
      <w:r w:rsidR="00A802B0">
        <w:rPr>
          <w:rFonts w:ascii="Times New Roman" w:hAnsi="Times New Roman"/>
          <w:sz w:val="28"/>
          <w:szCs w:val="28"/>
        </w:rPr>
        <w:t>64</w:t>
      </w:r>
      <w:r w:rsidRPr="00A802B0">
        <w:rPr>
          <w:rFonts w:ascii="Times New Roman" w:hAnsi="Times New Roman"/>
          <w:sz w:val="28"/>
          <w:szCs w:val="28"/>
        </w:rPr>
        <w:t>% (</w:t>
      </w:r>
      <w:r w:rsidR="00A802B0">
        <w:rPr>
          <w:rFonts w:ascii="Times New Roman" w:hAnsi="Times New Roman"/>
          <w:sz w:val="28"/>
          <w:szCs w:val="28"/>
        </w:rPr>
        <w:t>4636</w:t>
      </w:r>
      <w:r w:rsidRPr="00A802B0">
        <w:rPr>
          <w:rFonts w:ascii="Times New Roman" w:hAnsi="Times New Roman"/>
          <w:sz w:val="28"/>
          <w:szCs w:val="28"/>
        </w:rPr>
        <w:t xml:space="preserve"> человек). </w:t>
      </w:r>
      <w:r w:rsidR="00A802B0">
        <w:rPr>
          <w:rFonts w:ascii="Times New Roman" w:hAnsi="Times New Roman"/>
          <w:sz w:val="28"/>
          <w:szCs w:val="28"/>
        </w:rPr>
        <w:t>Скорее</w:t>
      </w:r>
      <w:r w:rsidRPr="00A802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2B0">
        <w:rPr>
          <w:rFonts w:ascii="Times New Roman" w:hAnsi="Times New Roman"/>
          <w:sz w:val="28"/>
          <w:szCs w:val="28"/>
        </w:rPr>
        <w:t>удовлетв</w:t>
      </w:r>
      <w:r w:rsidRPr="00A802B0">
        <w:rPr>
          <w:rFonts w:ascii="Times New Roman" w:hAnsi="Times New Roman"/>
          <w:sz w:val="28"/>
          <w:szCs w:val="28"/>
        </w:rPr>
        <w:t>о</w:t>
      </w:r>
      <w:r w:rsidRPr="00A802B0">
        <w:rPr>
          <w:rFonts w:ascii="Times New Roman" w:hAnsi="Times New Roman"/>
          <w:sz w:val="28"/>
          <w:szCs w:val="28"/>
        </w:rPr>
        <w:t>рены</w:t>
      </w:r>
      <w:proofErr w:type="gramEnd"/>
      <w:r w:rsidRPr="00A802B0">
        <w:rPr>
          <w:rFonts w:ascii="Times New Roman" w:hAnsi="Times New Roman"/>
          <w:sz w:val="28"/>
          <w:szCs w:val="28"/>
        </w:rPr>
        <w:t xml:space="preserve"> услугами, предоставляемыми на рынке, </w:t>
      </w:r>
      <w:r w:rsidR="00A802B0">
        <w:rPr>
          <w:rFonts w:ascii="Times New Roman" w:hAnsi="Times New Roman"/>
          <w:sz w:val="28"/>
          <w:szCs w:val="28"/>
        </w:rPr>
        <w:t>17</w:t>
      </w:r>
      <w:r w:rsidRPr="00A802B0">
        <w:rPr>
          <w:rFonts w:ascii="Times New Roman" w:hAnsi="Times New Roman"/>
          <w:sz w:val="28"/>
          <w:szCs w:val="28"/>
        </w:rPr>
        <w:t>% жителей (</w:t>
      </w:r>
      <w:r w:rsidR="00A802B0">
        <w:rPr>
          <w:rFonts w:ascii="Times New Roman" w:hAnsi="Times New Roman"/>
          <w:sz w:val="28"/>
          <w:szCs w:val="28"/>
        </w:rPr>
        <w:t>1236</w:t>
      </w:r>
      <w:r w:rsidRPr="00A802B0">
        <w:rPr>
          <w:rFonts w:ascii="Times New Roman" w:hAnsi="Times New Roman"/>
          <w:sz w:val="28"/>
          <w:szCs w:val="28"/>
        </w:rPr>
        <w:t xml:space="preserve"> человек). П</w:t>
      </w:r>
      <w:r w:rsidRPr="00A802B0">
        <w:rPr>
          <w:rFonts w:ascii="Times New Roman" w:hAnsi="Times New Roman"/>
          <w:sz w:val="28"/>
          <w:szCs w:val="28"/>
        </w:rPr>
        <w:t>о</w:t>
      </w:r>
      <w:r w:rsidRPr="00A802B0">
        <w:rPr>
          <w:rFonts w:ascii="Times New Roman" w:hAnsi="Times New Roman"/>
          <w:sz w:val="28"/>
          <w:szCs w:val="28"/>
        </w:rPr>
        <w:t xml:space="preserve">рядка </w:t>
      </w:r>
      <w:r w:rsidR="00A802B0">
        <w:rPr>
          <w:rFonts w:ascii="Times New Roman" w:hAnsi="Times New Roman"/>
          <w:sz w:val="28"/>
          <w:szCs w:val="28"/>
        </w:rPr>
        <w:t>6</w:t>
      </w:r>
      <w:r w:rsidRPr="00A802B0">
        <w:rPr>
          <w:rFonts w:ascii="Times New Roman" w:hAnsi="Times New Roman"/>
          <w:sz w:val="28"/>
          <w:szCs w:val="28"/>
        </w:rPr>
        <w:t>% (</w:t>
      </w:r>
      <w:r w:rsidR="00A802B0">
        <w:rPr>
          <w:rFonts w:ascii="Times New Roman" w:hAnsi="Times New Roman"/>
          <w:sz w:val="28"/>
          <w:szCs w:val="28"/>
        </w:rPr>
        <w:t>417</w:t>
      </w:r>
      <w:r w:rsidRPr="00A802B0">
        <w:rPr>
          <w:rFonts w:ascii="Times New Roman" w:hAnsi="Times New Roman"/>
          <w:sz w:val="28"/>
          <w:szCs w:val="28"/>
        </w:rPr>
        <w:t xml:space="preserve"> человек) граждан выразили полную неудовлетворенность уро</w:t>
      </w:r>
      <w:r w:rsidRPr="00A802B0">
        <w:rPr>
          <w:rFonts w:ascii="Times New Roman" w:hAnsi="Times New Roman"/>
          <w:sz w:val="28"/>
          <w:szCs w:val="28"/>
        </w:rPr>
        <w:t>в</w:t>
      </w:r>
      <w:r w:rsidRPr="00A802B0">
        <w:rPr>
          <w:rFonts w:ascii="Times New Roman" w:hAnsi="Times New Roman"/>
          <w:sz w:val="28"/>
          <w:szCs w:val="28"/>
        </w:rPr>
        <w:t xml:space="preserve">нем оказания услуг детского дополнительного образования. Ответ «скорее не удовлетворен» выбрали </w:t>
      </w:r>
      <w:r w:rsidR="00A802B0">
        <w:rPr>
          <w:rFonts w:ascii="Times New Roman" w:hAnsi="Times New Roman"/>
          <w:sz w:val="28"/>
          <w:szCs w:val="28"/>
        </w:rPr>
        <w:t>более 12</w:t>
      </w:r>
      <w:r w:rsidRPr="00A802B0">
        <w:rPr>
          <w:rFonts w:ascii="Times New Roman" w:hAnsi="Times New Roman"/>
          <w:sz w:val="28"/>
          <w:szCs w:val="28"/>
        </w:rPr>
        <w:t>% (</w:t>
      </w:r>
      <w:r w:rsidR="00A802B0">
        <w:rPr>
          <w:rFonts w:ascii="Times New Roman" w:hAnsi="Times New Roman"/>
          <w:sz w:val="28"/>
          <w:szCs w:val="28"/>
        </w:rPr>
        <w:t>916</w:t>
      </w:r>
      <w:r w:rsidRPr="00A802B0">
        <w:rPr>
          <w:rFonts w:ascii="Times New Roman" w:hAnsi="Times New Roman"/>
          <w:sz w:val="28"/>
          <w:szCs w:val="28"/>
        </w:rPr>
        <w:t xml:space="preserve"> человек) участников анкетирования. </w:t>
      </w:r>
    </w:p>
    <w:p w:rsidR="00A802B0" w:rsidRDefault="00A802B0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2B0" w:rsidRDefault="00A802B0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AA2881" wp14:editId="5CE097E8">
            <wp:extent cx="4086225" cy="2381250"/>
            <wp:effectExtent l="0" t="0" r="9525" b="1905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02B0" w:rsidRDefault="00A802B0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7F48" w:rsidRDefault="002E7F48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же данного вида рынка услуг, принявшие участие в 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се, оценили уровень конкуренции в сфере их деятельности как «умеренный» и «слабый» – 90%. По 5% опрошенных сочли, что конкуренция на рынке услуг дополнительного образования «высокая» и «слабая».</w:t>
      </w:r>
      <w:proofErr w:type="gramEnd"/>
    </w:p>
    <w:p w:rsidR="002E7F48" w:rsidRDefault="002E7F48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48" w:rsidRDefault="002E7F48" w:rsidP="00AC065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307E37" wp14:editId="7266E323">
            <wp:extent cx="4305300" cy="2362200"/>
            <wp:effectExtent l="0" t="0" r="19050" b="1905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7F48" w:rsidRDefault="002E7F48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48" w:rsidRDefault="002E7F48" w:rsidP="00AC065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Также в своем большинстве (70%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предприниматели выр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зили мнение, что на их целевом рынке в</w:t>
      </w:r>
      <w:r w:rsidRPr="0097786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чем-то органы власти помогают, в чем-то мешают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бизнесу.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отношению к общей системе образования дополнительное выступает подсистемой, но одновременно оно может рассматриваться как самостоятел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образовательная система, которая отличается открытостью и вариативн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стью.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система дополнительного образования находится в стадии развития, преодолевая сложности (недостаточное финансирование, н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хватка квалифицированных кадров, недостаточная разработанность методич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обеспечения). Одновременно в обществе растет понимание необходим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восстановления духовных основ жизни, сохранения и приумножения кул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своего народа. Увеличивается роль психологического, личностного фа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тора в жизни и профессиональной деятельности, приходит осознание важности постоянного самообразования и творческого совершенствования, становление активной жизненной позиции.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проблемами системы дополнительного образования на сег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дняшний день </w:t>
      </w:r>
      <w:r w:rsid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ются: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неуклонное снижение конкурентоспособности традиционных форм д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детей в силу развития новых привлекательных во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можностей досуга (компьютерные игры, новое цифровое телевидение);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устаревание традиционных форм получения образования таких, как р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гулярные занятия;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нарастание социальных проблем на фоне снижения финансовых во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можностей местного самоуправления;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программы дополнительного образования могут быть стабильными только в случае их очевидной социальной значимости (имеющие сильную 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щественную поддержку);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слабый отклик традиционных учреждений дополнительного образов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чьё выживание не зависит от платных услуг, на конъюнктуру рынка обр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зования. 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рынка услуг дополнительного образования в муниципал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образовании город Краснодар необходимы: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и внедрение в практику новых форматов предоставления о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разовательных услуг;</w:t>
      </w:r>
    </w:p>
    <w:p w:rsidR="00E51721" w:rsidRPr="00A802B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принятие программ дополнительной финансовой поддержки муниц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пальных учреждений дополнительного образования детей;</w:t>
      </w:r>
    </w:p>
    <w:p w:rsidR="00E51721" w:rsidRPr="00A802B0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поддержка негосударственного сектора дополнительного образования, с более  гибкими образовательными программами и решающего за короткое вр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 локальные проблемы в образовании ребенка: подготовка к поступлению в школу, вуз, обучение работе на компьютере, развитие коммуникативных нав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A8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и прочие.</w:t>
      </w: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C7379E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медицинских услуг.</w:t>
      </w:r>
    </w:p>
    <w:p w:rsidR="00E51721" w:rsidRPr="00C7379E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F3B" w:rsidRPr="00C411B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конкурентной среды в системе здравоохранения, з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 механизмов квалифицированного соперничества между врачами, сопе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ничества между медицинскими организациями в технологиях и уровне оказ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медицинской помощи могут значительно повысить эффективность работы отрасли, оптимизировать затраты бюджетных средств и повысить качество предоставляемых услуг.</w:t>
      </w:r>
    </w:p>
    <w:p w:rsidR="00B30F3B" w:rsidRPr="00C411B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Краевой центр располагает мощной, многофункциональной разветвле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41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сетью учреждений здравоохранения. </w:t>
      </w:r>
    </w:p>
    <w:p w:rsidR="00B30F3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столице Кубани сосредоточены медицинские учреждения различных форм собственности и подчинения.</w:t>
      </w:r>
    </w:p>
    <w:p w:rsid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F3B" w:rsidRPr="00B30F3B" w:rsidRDefault="00B30F3B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30F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Система муниципального здравоохранения в 201</w:t>
      </w:r>
      <w:r w:rsidR="00806E4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 w:rsidRPr="00B30F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201</w:t>
      </w:r>
      <w:r w:rsidR="00806E4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</w:t>
      </w:r>
      <w:r w:rsidRPr="00B30F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годах</w:t>
      </w:r>
    </w:p>
    <w:p w:rsidR="00B30F3B" w:rsidRPr="00B30F3B" w:rsidRDefault="00B30F3B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30F3B" w:rsidRPr="00B30F3B" w:rsidRDefault="00B30F3B" w:rsidP="00AC065C">
      <w:pPr>
        <w:spacing w:after="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33"/>
        <w:gridCol w:w="1233"/>
        <w:gridCol w:w="1233"/>
      </w:tblGrid>
      <w:tr w:rsidR="00B30F3B" w:rsidRPr="00B30F3B" w:rsidTr="00B30F3B">
        <w:trPr>
          <w:tblHeader/>
        </w:trPr>
        <w:tc>
          <w:tcPr>
            <w:tcW w:w="5954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Медицинские организации (единиц)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233" w:type="dxa"/>
          </w:tcPr>
          <w:p w:rsidR="00B30F3B" w:rsidRPr="000B54F6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</w:tr>
      <w:tr w:rsidR="00B30F3B" w:rsidRPr="00B30F3B" w:rsidTr="00B30F3B">
        <w:tc>
          <w:tcPr>
            <w:tcW w:w="5954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 организаций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233" w:type="dxa"/>
          </w:tcPr>
          <w:p w:rsidR="00B30F3B" w:rsidRPr="000B54F6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</w:tr>
      <w:tr w:rsidR="00B30F3B" w:rsidRPr="00B30F3B" w:rsidTr="00B30F3B">
        <w:tc>
          <w:tcPr>
            <w:tcW w:w="5954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233" w:type="dxa"/>
          </w:tcPr>
          <w:p w:rsidR="00B30F3B" w:rsidRPr="000B54F6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</w:tr>
      <w:tr w:rsidR="00B30F3B" w:rsidRPr="00B30F3B" w:rsidTr="00B30F3B">
        <w:tc>
          <w:tcPr>
            <w:tcW w:w="5954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Городские поликлиники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33" w:type="dxa"/>
          </w:tcPr>
          <w:p w:rsidR="00B30F3B" w:rsidRPr="000B54F6" w:rsidRDefault="00013FBA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013FBA" w:rsidRPr="00B30F3B" w:rsidTr="00B30F3B">
        <w:tc>
          <w:tcPr>
            <w:tcW w:w="5954" w:type="dxa"/>
            <w:shd w:val="clear" w:color="auto" w:fill="auto"/>
          </w:tcPr>
          <w:p w:rsidR="00013FBA" w:rsidRPr="00B30F3B" w:rsidRDefault="00013FBA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Детские городские поликлиники</w:t>
            </w:r>
          </w:p>
        </w:tc>
        <w:tc>
          <w:tcPr>
            <w:tcW w:w="1233" w:type="dxa"/>
            <w:shd w:val="clear" w:color="auto" w:fill="auto"/>
          </w:tcPr>
          <w:p w:rsidR="00013FBA" w:rsidRPr="00B30F3B" w:rsidRDefault="00013FBA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013FBA" w:rsidRPr="00B30F3B" w:rsidRDefault="00013FBA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33" w:type="dxa"/>
          </w:tcPr>
          <w:p w:rsidR="00013FBA" w:rsidRPr="000B54F6" w:rsidRDefault="00013FBA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B30F3B" w:rsidRPr="00B30F3B" w:rsidTr="00B30F3B">
        <w:tc>
          <w:tcPr>
            <w:tcW w:w="5954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Стационары 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B30F3B" w:rsidRPr="00B30F3B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30F3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33" w:type="dxa"/>
          </w:tcPr>
          <w:p w:rsidR="00B30F3B" w:rsidRPr="000B54F6" w:rsidRDefault="00B30F3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54F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</w:tbl>
    <w:p w:rsidR="00B30F3B" w:rsidRPr="00B30F3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F3B" w:rsidRPr="00B30F3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Спектр оказываемых данными медицинскими учреждениями услуг вкл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чает: первичную доврачебную и врачебную, в том числе специализированную, медико-санитарную помощь, взрослому и детскому населению, в амбулаторных условиях и стационарно; круглосуточное медицинское наблюдение и лечение по различным профилям заболеваний; высокотехнологичную медицинскую помощь; скорую, в том числе специализированную, и паллиативную медици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скую помощь.</w:t>
      </w:r>
    </w:p>
    <w:p w:rsidR="00D62909" w:rsidRPr="00D62909" w:rsidRDefault="00D62909" w:rsidP="00AC065C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909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медицинскими кадрами составляет 75,5 процента по всем категориям персонала, в том числе: по врачебным должностям – 77,6 пр</w:t>
      </w:r>
      <w:r w:rsidRPr="00D629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909">
        <w:rPr>
          <w:rFonts w:ascii="Times New Roman" w:eastAsia="Times New Roman" w:hAnsi="Times New Roman"/>
          <w:sz w:val="28"/>
          <w:szCs w:val="28"/>
          <w:lang w:eastAsia="ru-RU"/>
        </w:rPr>
        <w:t>цента, по среднему медицинскому персоналу – 73,5 процента, по младшему м</w:t>
      </w:r>
      <w:r w:rsidRPr="00D629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2909">
        <w:rPr>
          <w:rFonts w:ascii="Times New Roman" w:eastAsia="Times New Roman" w:hAnsi="Times New Roman"/>
          <w:sz w:val="28"/>
          <w:szCs w:val="28"/>
          <w:lang w:eastAsia="ru-RU"/>
        </w:rPr>
        <w:t>дицинскому персоналу – 69,4 процента.</w:t>
      </w:r>
    </w:p>
    <w:p w:rsidR="00013FBA" w:rsidRDefault="00013FBA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краевом центре функционируют 19 офисов врача общей практики, 10 из которых расположены в населённых пунктах пригорода Краснодара: посё</w:t>
      </w:r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ках Колосистом, Южном, Индустриальном, Берёзовом, Лазурном, Прогресс, отделении № 2 Северо-Кавказского зонального НИИ садоводства и виногр</w:t>
      </w:r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дарства, Белозёрном, Плодородном и хуторе </w:t>
      </w:r>
      <w:proofErr w:type="spellStart"/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Копанском</w:t>
      </w:r>
      <w:proofErr w:type="spellEnd"/>
      <w:r w:rsidRPr="00013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30F3B" w:rsidRPr="00B30F3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Объёмы медицинской помощи в частной системе, в основном, </w:t>
      </w:r>
      <w:r w:rsidR="00ED3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</w:t>
      </w:r>
      <w:r w:rsidR="00ED3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D3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направлениям стоматологии, косметологии, реабилитации, диагност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ки. Основные объёмы медицинской помощи приходятся на государственные и муниципальные учреждения здравоохранения, активно развивается сектор предоставления медицинских услуг на платной основе.</w:t>
      </w:r>
    </w:p>
    <w:p w:rsidR="00B30F3B" w:rsidRPr="00B30F3B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Конкурентные отношения между муниципальными лечебно-профилактическими учреждениями Краснодара в сфере оказания платных м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дицинских услуг связаны с ценой и качеством оказываемых услуг. При регул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руемых ценах конкуренция медицинских учреждений смещается в сторону к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30F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чества оказываемой медицинской помощи. </w:t>
      </w:r>
    </w:p>
    <w:p w:rsidR="00B30F3B" w:rsidRPr="00C7379E" w:rsidRDefault="00B30F3B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C7379E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медицинских услуг</w:t>
      </w:r>
    </w:p>
    <w:p w:rsidR="00E51721" w:rsidRPr="00C7379E" w:rsidRDefault="00E51721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7379E" w:rsidRDefault="00E5172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Большая часть населения муниципального образования, прошедшая анк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тирование, считает достаточным количество организаций, предоставляющих медицинские услуги – 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3107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почти 27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1936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считают, что вышеуказанных организаций в городе – избыточное количество. 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Ещё 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трет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6BF" w:rsidRPr="00C7379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1956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горожан ответили, что организаций, функционирующих в сфере медицинских услуг, не достаточно, а 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>3% (</w:t>
      </w:r>
      <w:r w:rsidR="00C7379E">
        <w:rPr>
          <w:rFonts w:ascii="Times New Roman" w:eastAsia="Times New Roman" w:hAnsi="Times New Roman"/>
          <w:sz w:val="28"/>
          <w:szCs w:val="28"/>
          <w:lang w:eastAsia="ru-RU"/>
        </w:rPr>
        <w:t>206</w:t>
      </w:r>
      <w:r w:rsidRPr="00C737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отметили, что их нет совсем. </w:t>
      </w:r>
    </w:p>
    <w:p w:rsidR="00766F09" w:rsidRDefault="00766F09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C7379E" w:rsidRPr="00C7379E" w:rsidRDefault="00C7379E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024A9C7" wp14:editId="49921F12">
            <wp:extent cx="3962400" cy="2362200"/>
            <wp:effectExtent l="0" t="0" r="19050" b="1905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7379E" w:rsidRPr="00C7379E" w:rsidRDefault="00C7379E" w:rsidP="00AC065C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721" w:rsidRPr="0050210A" w:rsidRDefault="00E51721" w:rsidP="00AC065C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10A">
        <w:rPr>
          <w:rFonts w:ascii="Times New Roman" w:hAnsi="Times New Roman"/>
          <w:sz w:val="28"/>
          <w:szCs w:val="28"/>
        </w:rPr>
        <w:t>Анализ результатов опроса населения Краснодара относительно удовл</w:t>
      </w:r>
      <w:r w:rsidRPr="0050210A">
        <w:rPr>
          <w:rFonts w:ascii="Times New Roman" w:hAnsi="Times New Roman"/>
          <w:sz w:val="28"/>
          <w:szCs w:val="28"/>
        </w:rPr>
        <w:t>е</w:t>
      </w:r>
      <w:r w:rsidRPr="0050210A">
        <w:rPr>
          <w:rFonts w:ascii="Times New Roman" w:hAnsi="Times New Roman"/>
          <w:sz w:val="28"/>
          <w:szCs w:val="28"/>
        </w:rPr>
        <w:t xml:space="preserve">творенности характеристиками предоставляемых медицинских услуг показал, что </w:t>
      </w:r>
      <w:r w:rsidR="0050210A" w:rsidRPr="0050210A">
        <w:rPr>
          <w:rFonts w:ascii="Times New Roman" w:hAnsi="Times New Roman"/>
          <w:sz w:val="28"/>
          <w:szCs w:val="28"/>
        </w:rPr>
        <w:t>19</w:t>
      </w:r>
      <w:r w:rsidRPr="0050210A">
        <w:rPr>
          <w:rFonts w:ascii="Times New Roman" w:hAnsi="Times New Roman"/>
          <w:sz w:val="28"/>
          <w:szCs w:val="28"/>
        </w:rPr>
        <w:t>% (</w:t>
      </w:r>
      <w:r w:rsidR="0050210A" w:rsidRPr="0050210A">
        <w:rPr>
          <w:rFonts w:ascii="Times New Roman" w:hAnsi="Times New Roman"/>
          <w:sz w:val="28"/>
          <w:szCs w:val="28"/>
        </w:rPr>
        <w:t>1363</w:t>
      </w:r>
      <w:r w:rsidRPr="0050210A">
        <w:rPr>
          <w:rFonts w:ascii="Times New Roman" w:hAnsi="Times New Roman"/>
          <w:sz w:val="28"/>
          <w:szCs w:val="28"/>
        </w:rPr>
        <w:t xml:space="preserve"> человека) участников опроса скорее не удовлетворены, а </w:t>
      </w:r>
      <w:r w:rsidR="0050210A" w:rsidRPr="0050210A">
        <w:rPr>
          <w:rFonts w:ascii="Times New Roman" w:hAnsi="Times New Roman"/>
          <w:sz w:val="28"/>
          <w:szCs w:val="28"/>
        </w:rPr>
        <w:t>15</w:t>
      </w:r>
      <w:r w:rsidRPr="0050210A">
        <w:rPr>
          <w:rFonts w:ascii="Times New Roman" w:hAnsi="Times New Roman"/>
          <w:sz w:val="28"/>
          <w:szCs w:val="28"/>
        </w:rPr>
        <w:t>% (</w:t>
      </w:r>
      <w:r w:rsidR="0050210A" w:rsidRPr="0050210A">
        <w:rPr>
          <w:rFonts w:ascii="Times New Roman" w:hAnsi="Times New Roman"/>
          <w:sz w:val="28"/>
          <w:szCs w:val="28"/>
        </w:rPr>
        <w:t>1107</w:t>
      </w:r>
      <w:r w:rsidRPr="0050210A">
        <w:rPr>
          <w:rFonts w:ascii="Times New Roman" w:hAnsi="Times New Roman"/>
          <w:sz w:val="28"/>
          <w:szCs w:val="28"/>
        </w:rPr>
        <w:t xml:space="preserve"> человек) вообще не удовлетворены рынком медицинских услуг города. Оценку «удовлетворен» поставили </w:t>
      </w:r>
      <w:r w:rsidR="0050210A" w:rsidRPr="0050210A">
        <w:rPr>
          <w:rFonts w:ascii="Times New Roman" w:hAnsi="Times New Roman"/>
          <w:sz w:val="28"/>
          <w:szCs w:val="28"/>
        </w:rPr>
        <w:t>54</w:t>
      </w:r>
      <w:r w:rsidRPr="0050210A">
        <w:rPr>
          <w:rFonts w:ascii="Times New Roman" w:hAnsi="Times New Roman"/>
          <w:sz w:val="28"/>
          <w:szCs w:val="28"/>
        </w:rPr>
        <w:t>% (</w:t>
      </w:r>
      <w:r w:rsidR="0050210A" w:rsidRPr="0050210A">
        <w:rPr>
          <w:rFonts w:ascii="Times New Roman" w:hAnsi="Times New Roman"/>
          <w:sz w:val="28"/>
          <w:szCs w:val="28"/>
        </w:rPr>
        <w:t>3901</w:t>
      </w:r>
      <w:r w:rsidRPr="0050210A">
        <w:rPr>
          <w:rFonts w:ascii="Times New Roman" w:hAnsi="Times New Roman"/>
          <w:sz w:val="28"/>
          <w:szCs w:val="28"/>
        </w:rPr>
        <w:t xml:space="preserve"> человек), «скорее удовлетворен» – </w:t>
      </w:r>
      <w:r w:rsidR="0050210A" w:rsidRPr="0050210A">
        <w:rPr>
          <w:rFonts w:ascii="Times New Roman" w:hAnsi="Times New Roman"/>
          <w:sz w:val="28"/>
          <w:szCs w:val="28"/>
        </w:rPr>
        <w:t>более 11,5</w:t>
      </w:r>
      <w:r w:rsidRPr="0050210A">
        <w:rPr>
          <w:rFonts w:ascii="Times New Roman" w:hAnsi="Times New Roman"/>
          <w:sz w:val="28"/>
          <w:szCs w:val="28"/>
        </w:rPr>
        <w:t>% (</w:t>
      </w:r>
      <w:r w:rsidR="0050210A" w:rsidRPr="0050210A">
        <w:rPr>
          <w:rFonts w:ascii="Times New Roman" w:hAnsi="Times New Roman"/>
          <w:sz w:val="28"/>
          <w:szCs w:val="28"/>
        </w:rPr>
        <w:t>834</w:t>
      </w:r>
      <w:r w:rsidRPr="0050210A">
        <w:rPr>
          <w:rFonts w:ascii="Times New Roman" w:hAnsi="Times New Roman"/>
          <w:sz w:val="28"/>
          <w:szCs w:val="28"/>
        </w:rPr>
        <w:t xml:space="preserve"> человек</w:t>
      </w:r>
      <w:r w:rsidR="0050210A" w:rsidRPr="0050210A">
        <w:rPr>
          <w:rFonts w:ascii="Times New Roman" w:hAnsi="Times New Roman"/>
          <w:sz w:val="28"/>
          <w:szCs w:val="28"/>
        </w:rPr>
        <w:t>а</w:t>
      </w:r>
      <w:r w:rsidRPr="0050210A">
        <w:rPr>
          <w:rFonts w:ascii="Times New Roman" w:hAnsi="Times New Roman"/>
          <w:sz w:val="28"/>
          <w:szCs w:val="28"/>
        </w:rPr>
        <w:t>) опрошенных.</w:t>
      </w:r>
    </w:p>
    <w:p w:rsidR="00C7379E" w:rsidRPr="0050210A" w:rsidRDefault="00C7379E" w:rsidP="00AC065C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379E" w:rsidRPr="0050210A" w:rsidRDefault="00C7379E" w:rsidP="00AC065C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10A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5BEBF0C" wp14:editId="01B3EA1B">
            <wp:extent cx="4305300" cy="2438400"/>
            <wp:effectExtent l="0" t="0" r="19050" b="1905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7379E" w:rsidRPr="0050210A" w:rsidRDefault="00C7379E" w:rsidP="00AC065C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AFB" w:rsidRDefault="00C21AFB" w:rsidP="00ED3A3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участников опроса</w:t>
      </w:r>
      <w:r w:rsidR="00ED3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64,3%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деятельность в области здравоохранения,</w:t>
      </w:r>
      <w:r w:rsidR="00ED3A3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считают, что д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 xml:space="preserve">ля сохранения рыночной позиции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 необходимо регулярно (раз в год или чаще) предпринимать меры по повышению конкурентоспособности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продукции/ работ/ услуг (снижение цен, повышение качества, развитие сопутствующих услуг, иное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28,6%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принимателей считают, что 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>применять новые способы повышения конкурент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предлагаемых ими услуг</w:t>
      </w:r>
      <w:r w:rsidRPr="00977697">
        <w:rPr>
          <w:rFonts w:ascii="Times New Roman" w:eastAsia="Times New Roman" w:hAnsi="Times New Roman"/>
          <w:sz w:val="28"/>
          <w:szCs w:val="28"/>
          <w:lang w:eastAsia="ru-RU"/>
        </w:rPr>
        <w:t>, не используемые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 постоянно, то на регулярной основе.</w:t>
      </w:r>
    </w:p>
    <w:p w:rsidR="00C21AFB" w:rsidRDefault="00C21AFB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FB" w:rsidRDefault="00C21AFB" w:rsidP="00AC065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28D0DE" wp14:editId="2EE1C44C">
            <wp:extent cx="4324350" cy="2343150"/>
            <wp:effectExtent l="0" t="0" r="19050" b="1905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1AFB" w:rsidRDefault="00C21AFB" w:rsidP="00AC065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1AFB" w:rsidRDefault="00C21AFB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на рынке услуг дополнительного образования, большинство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принимателей (78,6%), принявших участие в опросе, оценили действия органов власти в сфере здравоохранения в чем-то как помощь, в чем-то как помеху их деятельности. 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проблемами, мешающими развитию конкуренции на рынке медицинских услуг муниципального образования город Краснодар,</w:t>
      </w:r>
      <w:r w:rsidR="00C7379E"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в предыдущем году,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продолжают оставаться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недостаточная укомплектованность кадрами медицинских организаций;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состояние материально-технической базы муниципальных учреждений здравоохранения;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дефицит мощности медицинских организаций как амбулато</w:t>
      </w:r>
      <w:r w:rsid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рного, так и стационарного типа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барьерами, препятствующими развитию конкуренции в сфере здравоохранения, являются: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необходимость вложения значительных финансовых ресурсов (покупка или аренда подходящего по санитарно-эпидемиологическим нормам помещ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приобретение дорогостоящего медицинского оборудования);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недостаточный объём финансирования в системе ОМС, в </w:t>
      </w:r>
      <w:proofErr w:type="gramStart"/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</w:t>
      </w:r>
      <w:proofErr w:type="gramEnd"/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чем частные медицинские учреждения не стремятся участвовать в Территориальной программе государственных гарантий оказания гражданам РФ бесплатной м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дицинской помощи;</w:t>
      </w:r>
    </w:p>
    <w:p w:rsidR="00E51721" w:rsidRPr="00C7379E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невысокая платежеспособность большей части населения города и его психологическая неготовность к оплате медицинской помощи.</w:t>
      </w:r>
    </w:p>
    <w:p w:rsidR="00E51721" w:rsidRPr="00C7379E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целью увеличения конкуренции на рынке медицинских услуг муниц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город Краснодар необходимо:</w:t>
      </w:r>
    </w:p>
    <w:p w:rsidR="00E51721" w:rsidRPr="00C7379E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- улучшение качества лечебно-профилактической работы за счёт обуч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кадров, повышения их квалификации, увеличения количества сотрудников наиболее востребованных специальностей;</w:t>
      </w:r>
    </w:p>
    <w:p w:rsidR="00E51721" w:rsidRPr="00C7379E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целевое финансирование с целью увеличения заработной платы врачей и среднего медицинского персонала, оказывающих медицинскую помощь в а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булаторном звене и скорой медицинской помощи;</w:t>
      </w:r>
    </w:p>
    <w:p w:rsidR="00E51721" w:rsidRPr="00C7379E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укрепление материально-технической базы: проведение капитальных ремонтов учреждений здравоохранения города, приобретение нового совр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менного оборудования, строительство новых больниц и поликлиник, офисов врачей общей практики в новых строящихся микрорайонах муниципального образования город Краснодар;</w:t>
      </w:r>
    </w:p>
    <w:p w:rsidR="00E51721" w:rsidRPr="00C7379E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дальнейшее совершенствование и расширение объёмов первичной м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дико-санитарной помощи, оказываемой в амбулаторных условиях, с развитием профилактической направленности;</w:t>
      </w:r>
    </w:p>
    <w:p w:rsidR="00E51721" w:rsidRPr="00C7379E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дальнейшее развитие и совершенствование </w:t>
      </w:r>
      <w:proofErr w:type="spellStart"/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стационарзамещающей</w:t>
      </w:r>
      <w:proofErr w:type="spellEnd"/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дицинской помощи, развитие реабилитационной медицинской помощи, палл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ативной помощи.</w:t>
      </w:r>
      <w:r w:rsidRPr="00C73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BD6692" w:rsidRDefault="00E51721" w:rsidP="00E7768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здоровья.</w:t>
      </w:r>
    </w:p>
    <w:p w:rsidR="00E51721" w:rsidRPr="00BD6692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содействия личностному и интеллектуальному развитию детей и подростков от 3 до 18 лет, имеющих проблемы в развитии, обучении, социал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адаптации на территории муниципального образования  город Краснодар функционирует Центр диагностики и консультирования «Детство». </w:t>
      </w: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рынке услуг психолого-педагогического сопровождения детей с огр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ниченными возможностями здоровья востребованы следующие виды услуг: </w:t>
      </w: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оказание помощи детям, испытывающим трудности в усвоении образ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вательных программ;</w:t>
      </w: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осуществление индивидуально ориентированной педагогической, пс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хологической, социальной, медицинской помощи детям и их родителям (зако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представителям);</w:t>
      </w: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оказание помощи другим образовательным учреждениям по вопросам обучения и воспитания детей с проблемами школьной и социальной адаптации;</w:t>
      </w:r>
    </w:p>
    <w:p w:rsidR="00E51721" w:rsidRPr="00BD6692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деятельности психолого-медико-педагогической комиссии, которая создаётся в целях выявления детей с ограниченными возможностями здоровья и (или) отклонениями в поведении, проведения их комплексного о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D6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 и подготовки рекомендаций по оказанию детям психолого-медико-педагогической помощи и организации их обучения и воспитания.</w:t>
      </w:r>
    </w:p>
    <w:p w:rsidR="00E51721" w:rsidRPr="00E51721" w:rsidRDefault="007D154C" w:rsidP="007D15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консультативной помощью в Центр диагностики и ко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сультирования «Детство» обратилось 16574 человека, прошли психолого-медико-педагогич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еское обследование 5956 человек (на 5 процентов больше, чем в 2015 году).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Реализовано 29 дополнительных общеобразовательных пр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D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грамм. Обучение проводилось как в групповой форме, так и в индивидуальной форме. В групповой форме прошли обучение 490 детей, в индивидуальной форме – 40 детей.</w:t>
      </w:r>
    </w:p>
    <w:p w:rsidR="00BD6692" w:rsidRDefault="00BD6692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</w:pPr>
    </w:p>
    <w:p w:rsidR="00E51721" w:rsidRPr="00BD6692" w:rsidRDefault="00E5172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Анализ рынка услуг психолого-педагогического сопровождения детей </w:t>
      </w:r>
    </w:p>
    <w:p w:rsidR="00E51721" w:rsidRPr="00BD6692" w:rsidRDefault="00E5172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ограниченными возможностями здоровья</w:t>
      </w:r>
    </w:p>
    <w:p w:rsidR="00E51721" w:rsidRPr="00E51721" w:rsidRDefault="00E51721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</w:pPr>
    </w:p>
    <w:p w:rsidR="00E51721" w:rsidRDefault="00DF6C87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Мнения горожан при оценке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организаций, оказывающих услуги на рынке психолого-педагогического сопровождения детей с огран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ченными возможностями здоровья, 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разделились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Достаточным количество ук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занных организаций считают 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около 30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% опрошенных (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2140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 а 25% граждан (1824 человека) –  даже избыточным, однако, около 37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2654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век) считают, что таких организаций в муниципальном образовании недост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точно, а 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DF6C87">
        <w:rPr>
          <w:rFonts w:ascii="Times New Roman" w:eastAsia="Times New Roman" w:hAnsi="Times New Roman"/>
          <w:sz w:val="28"/>
          <w:szCs w:val="28"/>
          <w:lang w:eastAsia="ru-RU"/>
        </w:rPr>
        <w:t>587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вовсе не знают о них, так как не все граждане гор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да лично сталкивались с необходимостью обращения в организации, пред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DF6C87">
        <w:rPr>
          <w:rFonts w:ascii="Times New Roman" w:eastAsia="Times New Roman" w:hAnsi="Times New Roman"/>
          <w:sz w:val="28"/>
          <w:szCs w:val="28"/>
          <w:lang w:eastAsia="ru-RU"/>
        </w:rPr>
        <w:t>ставляющие данный вид услуг.</w:t>
      </w:r>
      <w:proofErr w:type="gramEnd"/>
    </w:p>
    <w:p w:rsidR="00DF6C87" w:rsidRPr="00DF6C87" w:rsidRDefault="00DF6C87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692" w:rsidRPr="00926B6A" w:rsidRDefault="00BD6692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6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345461" wp14:editId="4095CCA1">
            <wp:extent cx="4362450" cy="2419350"/>
            <wp:effectExtent l="0" t="0" r="19050" b="1905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6692" w:rsidRPr="00926B6A" w:rsidRDefault="00BD6692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721" w:rsidRDefault="00926B6A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Несмотря на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узк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сегментаци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 данного вида услуг, большая часть опрошенных выразила удовлетворенность услугами  рынка – 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а 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3% (917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показали, что 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скорее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предоставляемыми на данном рынке услугами. Ответ «скорее не удовлетворен» выбрали 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>около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1132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опрошенных. Ответ «не удовлетворен» ук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зали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E51721" w:rsidRPr="00926B6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  </w:t>
      </w:r>
    </w:p>
    <w:p w:rsidR="004965D7" w:rsidRPr="00926B6A" w:rsidRDefault="004965D7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721" w:rsidRPr="00C860C3" w:rsidRDefault="00BD6692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D80997" wp14:editId="73F4BC2C">
            <wp:extent cx="4143375" cy="2352675"/>
            <wp:effectExtent l="0" t="0" r="9525" b="9525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D6692" w:rsidRPr="00C860C3" w:rsidRDefault="00BD6692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692" w:rsidRPr="00C860C3" w:rsidRDefault="004965D7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данном рынке в муниципальном образовании город Краснодар фун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ционирует лишь подведомственная администрации муниципального образов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город Краснодар организация – </w:t>
      </w:r>
      <w:r w:rsidRPr="00920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диагностики и консультирования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20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Ввиду специфики рынка и узкой</w:t>
      </w:r>
      <w:r w:rsidRPr="006F72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сегментации потребителей данно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вида услуг,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отсутствия других его участников конкуренция на нем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сутствует. О</w:t>
      </w:r>
      <w:r w:rsidRPr="0046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46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органов власти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данном рынке не представилось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6692" w:rsidRPr="00E51721" w:rsidRDefault="00BD6692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E96A3D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6A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в сфере культуры.</w:t>
      </w:r>
    </w:p>
    <w:p w:rsid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82" w:rsidRPr="00BB21B0" w:rsidRDefault="000A7182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учреждения культуры выполняют важнейшие социал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и коммуникативные функции, являются одним из базовых элементов кул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турной, образовательной и информационной инфраструктуры, вносят весомый вклад в экономическое развитие муниципального образо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город Красн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дар.</w:t>
      </w:r>
    </w:p>
    <w:p w:rsidR="000A7182" w:rsidRDefault="000A718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Базовым ресурсом, на основе которого оказываются услуги в сфере кул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и искусства на территории города Краснодара, являются детские школы искусств и художественные школы, культурно-досуговые учреждения, библи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теки, театрально-концертные учреждения. В настоящее время на территории города функционируют 14 культурно-досуговых учреждений, из них 6 распол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гаются в сельской местности, 18 организаций дополнительного образования д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тей, Централизованная библиотечная система, объединяющая 37 филиалов м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ниципальных библиотек, Красно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дарское творческое объединение «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Премьера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B2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состав которого входит 11 творческих коллективов.</w:t>
      </w:r>
      <w:r w:rsidRPr="000A7182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кул</w:t>
      </w:r>
      <w:r w:rsidRPr="000A71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A7182">
        <w:rPr>
          <w:rFonts w:ascii="Times New Roman" w:eastAsia="Times New Roman" w:hAnsi="Times New Roman"/>
          <w:sz w:val="28"/>
          <w:szCs w:val="28"/>
          <w:lang w:eastAsia="ru-RU"/>
        </w:rPr>
        <w:t>турно-досуговых учреждениях в 2016 году функционировало 307 клубных формирований с общим количеством участников 5753 человека.</w:t>
      </w:r>
    </w:p>
    <w:p w:rsidR="000A7182" w:rsidRPr="000A7182" w:rsidRDefault="000A7182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182" w:rsidRPr="000A7182" w:rsidRDefault="000A7182" w:rsidP="00AC065C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A7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Структура учреждений культуры в201</w:t>
      </w:r>
      <w:r w:rsidR="00AF64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 w:rsidRPr="000A7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201</w:t>
      </w:r>
      <w:r w:rsidR="00AF64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</w:t>
      </w:r>
      <w:r w:rsidRPr="000A7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A7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годах</w:t>
      </w:r>
      <w:proofErr w:type="gramEnd"/>
    </w:p>
    <w:p w:rsidR="000A7182" w:rsidRPr="000A7182" w:rsidRDefault="000A7182" w:rsidP="00AC065C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82" w:rsidRPr="000A7182" w:rsidRDefault="000A7182" w:rsidP="00AC065C">
      <w:pPr>
        <w:spacing w:after="0" w:line="276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1099"/>
        <w:gridCol w:w="1098"/>
        <w:gridCol w:w="1186"/>
      </w:tblGrid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хозяйствующих субъектов на рынке услуг в сфере культуры, единиц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2016 год 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 учреждений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Детские школы искусств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Художественные школы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Библиотеки ЦБС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Культурно-досуговые учреждения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КМТО «Премьера»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Централизованная бухгалтерия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Парковые территории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0A7182" w:rsidRPr="000A7182" w:rsidTr="00AF6455">
        <w:trPr>
          <w:jc w:val="center"/>
        </w:trPr>
        <w:tc>
          <w:tcPr>
            <w:tcW w:w="6160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Кинотеатр «Аврора»</w:t>
            </w:r>
          </w:p>
        </w:tc>
        <w:tc>
          <w:tcPr>
            <w:tcW w:w="1099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0A7182" w:rsidRPr="000A7182" w:rsidRDefault="000A7182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A718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</w:tr>
    </w:tbl>
    <w:p w:rsidR="000A7182" w:rsidRPr="000A7182" w:rsidRDefault="000A7182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182" w:rsidRPr="00E31860" w:rsidRDefault="000A718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проведенных массовых и культурно-досуговых мероприятий за 2016 год составило 5962 (за 2015 год – 5660), их посетили 138830 человек (за 2015 год – 133271 человек).</w:t>
      </w:r>
    </w:p>
    <w:p w:rsidR="000A7182" w:rsidRDefault="000A7182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услуг культуры является необходимым, но не достаточным условием для их потребления. В связи с этим выделяются: доступные услуги (приемлемы для всех граждан); малодоступные услуги (приемлемы для опред</w:t>
      </w:r>
      <w:r w:rsidRPr="00A8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8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ленных категорий лиц). </w:t>
      </w:r>
    </w:p>
    <w:p w:rsidR="000A7182" w:rsidRDefault="000A7182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Краснодар является единственным муниципальным образованием в крае, где осуществляется деятельность библиотек-клубов, сочетающих фун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библиотеки и клубного учреждения (в поселках:</w:t>
      </w:r>
      <w:proofErr w:type="gramEnd"/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4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Белозерном, Колосистом, Березовом, хуторе Ленина).</w:t>
      </w:r>
      <w:proofErr w:type="gramEnd"/>
    </w:p>
    <w:p w:rsidR="00AF6455" w:rsidRDefault="00AF6455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 оказании услуг в сфере культуры участвуют следующие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ганизации: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Роботек</w:t>
      </w:r>
      <w:proofErr w:type="spell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-Юг»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(детская студия робототехники)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тво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«Академия талантов» ИП </w:t>
      </w:r>
      <w:proofErr w:type="spell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Санодзе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Т.В., Д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театр «Колом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на» ИП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Танцевальная школа «</w:t>
      </w:r>
      <w:proofErr w:type="spellStart"/>
      <w:proofErr w:type="gram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Pro</w:t>
      </w:r>
      <w:proofErr w:type="gram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</w:t>
      </w:r>
      <w:proofErr w:type="spell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Танцевальная школа «8 небо»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еть школ «</w:t>
      </w:r>
      <w:proofErr w:type="spell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Интерстиль</w:t>
      </w:r>
      <w:proofErr w:type="spell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Танцевальная школа «Альт-Грация»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танцев «Гранат»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Танцевальная студия «Крик»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Танцевальная студия «</w:t>
      </w:r>
      <w:proofErr w:type="spell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Salsa</w:t>
      </w:r>
      <w:proofErr w:type="spell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Pa`ti</w:t>
      </w:r>
      <w:proofErr w:type="spellEnd"/>
      <w:r w:rsidRPr="00AF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031D" w:rsidRDefault="00DF031D" w:rsidP="00DF031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Осуществляя </w:t>
      </w:r>
      <w:proofErr w:type="gramStart"/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социологические опросы населения и имея</w:t>
      </w:r>
      <w:proofErr w:type="gramEnd"/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чёткие ориент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на запросы посетителей и общества, учреждения культуры развивают в к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честве приоритетных специализированные формы клубного досуга для всех к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тегорий населения: детской, подростковой, молодёжной, семейной аудиторий, а также для граждан среднего, старшего и пожилого возраста, людей с огран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ченными возможностями здоровья. Организуются мероприятия по нравстве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и патриотическому воспитанию подрастающего поколения; особое вн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мание уделяется работе по профилактике </w:t>
      </w:r>
      <w:proofErr w:type="spellStart"/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среди мол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дежи, беспризорности и безнадзорности среди подростков. При этом учрежд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культуры обеспечивают достижение социально значимых целей, эффе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27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тивность и результаты которых выражаются в развитии духовной культуры общества, оздоровлении социальной атмосферы.</w:t>
      </w:r>
    </w:p>
    <w:p w:rsidR="000A7182" w:rsidRDefault="000A7182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E31860" w:rsidRDefault="00E51721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в сфере культуры</w:t>
      </w:r>
    </w:p>
    <w:p w:rsidR="00E51721" w:rsidRPr="00E31860" w:rsidRDefault="00E51721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E31860" w:rsidRDefault="00E51721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опрошенных ответила, что количество организаций на рынке культуры достаточно – 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3510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избыточно – 27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1922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ловек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). П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ятая часть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1559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участников опроса ответили, что о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ганизаций, представленных на данном рынке, мало, а 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 w:rsidRPr="00E31860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– что нет совсем.</w:t>
      </w:r>
    </w:p>
    <w:p w:rsidR="00E96A3D" w:rsidRPr="00E31860" w:rsidRDefault="00E96A3D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A3D" w:rsidRPr="00E31860" w:rsidRDefault="00E96A3D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EE3C76B" wp14:editId="536608D8">
            <wp:extent cx="4152900" cy="2247900"/>
            <wp:effectExtent l="0" t="0" r="19050" b="1905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96A3D" w:rsidRPr="00E31860" w:rsidRDefault="00E96A3D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721" w:rsidRPr="00E31860" w:rsidRDefault="00E51721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Результаты опроса жителей города показали, что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дарцев достаточно высоко оценивает степень удовлетворенности услугами в сфере культуры –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5046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а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1172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скорее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рены рынком культуры муниципального образования.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Всего 9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630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ответили, что недостаточно удовлетворены рынком услуг в сфере культуры, а 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31860">
        <w:rPr>
          <w:rFonts w:ascii="Times New Roman" w:eastAsia="Times New Roman" w:hAnsi="Times New Roman"/>
          <w:sz w:val="28"/>
          <w:szCs w:val="28"/>
          <w:lang w:eastAsia="ru-RU"/>
        </w:rPr>
        <w:t>357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выразили полное неудовлетворение положением на вышеук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186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занном рынке. </w:t>
      </w:r>
    </w:p>
    <w:p w:rsidR="00E96A3D" w:rsidRPr="00E31860" w:rsidRDefault="00E96A3D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A3D" w:rsidRPr="00E31860" w:rsidRDefault="00E96A3D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C6E306C" wp14:editId="7A444C90">
            <wp:extent cx="4495800" cy="2305050"/>
            <wp:effectExtent l="0" t="0" r="19050" b="1905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31860" w:rsidRDefault="00E31860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E31860" w:rsidRDefault="00ED3A3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51721"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жегодно наблюдается увеличение основных показателей деятельности рынка услуг в сфере культуры: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культурно-массовых мероприятий, проведённых культурно-досуговыми учреждениями;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число участников клубных формирований самодеятельного народного творчества;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учащихся детских школ искусств, ежегодно удостоенных стипендий, премий, грантов;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учащихся за отчётный период, поступивших в </w:t>
      </w:r>
      <w:proofErr w:type="spell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среднеспец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</w:t>
      </w:r>
      <w:proofErr w:type="spell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высшие заведения культуры и искусства;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среднегодовой контингент обучающихся в муниципальных организац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дополнительного образования;</w:t>
      </w:r>
      <w:proofErr w:type="gramEnd"/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библиографических записей в электронных каталогах мун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ципальных библиотек;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</w:t>
      </w:r>
      <w:proofErr w:type="spell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документовыдач</w:t>
      </w:r>
      <w:proofErr w:type="spell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муниципальных библиотеках муниц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город Краснодар;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мероприятий муниципальных театрально-концертных учр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ждений;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посещений мероприятий муниципальных театрально-концертных учреждений;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новых (капитально возобновлённых) постановок;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число детей, привлекаемых к участию в творческих мероприятиях;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уровень удовлетворённости населения качеством предоставления мун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ципальных услуг в сфере культуры;</w:t>
      </w:r>
    </w:p>
    <w:p w:rsidR="00E51721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стипендиатов (обладателей премий и грантов) среди выд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 деятелей культуры и искусства, работников муниципальных учрежд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культуры и дополнительного образования детей, участников творческих коллективов.</w:t>
      </w:r>
    </w:p>
    <w:p w:rsidR="001D7AA2" w:rsidRDefault="001D7AA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в опросе приняли всего 17 представителей сферы культуры. Около 65% предпринимателей считают данный рынок </w:t>
      </w:r>
      <w:r w:rsidRPr="00A8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малопривлекательн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Pr="00A8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причине низкого уровня прибыльности и высокого уровня инвестиционного риска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оценив конкуренцию на нем как «умеренную». Четверть участников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кетирования оценила конкуренцию на рынке услуг в сфере культуры как «в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сокую», а около 12%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«слабую» и отсутствующую.</w:t>
      </w:r>
    </w:p>
    <w:p w:rsidR="001D7AA2" w:rsidRDefault="001D7AA2" w:rsidP="00AC06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D7AA2" w:rsidRDefault="001D7AA2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3A2C65" wp14:editId="37C5F0BD">
            <wp:extent cx="4410075" cy="2400300"/>
            <wp:effectExtent l="0" t="0" r="9525" b="19050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D7AA2" w:rsidRPr="00E31860" w:rsidRDefault="001D7AA2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7AA2" w:rsidRDefault="001D7AA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половины (53%) из числа опрошенных охарактеризовали деятел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органов власти  на данном рынке как «в</w:t>
      </w:r>
      <w:r w:rsidRPr="0054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чем-то органы власти помогают, в чем-то мешают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около 30% считают, что о</w:t>
      </w:r>
      <w:r w:rsidRPr="00541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рганы власти помогают бизнесу своими действиями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чуть более 17% предпринимателей считают, что органы власти бездействуют.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вступления на рынок культуры новых производителей имеются определенные ограничения: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ограничение спроса рынка культуры, а также подчиненный характер культурных потребностей по отношению к базовым, физиологическим потре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ностям;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малопривлекательность</w:t>
      </w:r>
      <w:proofErr w:type="spell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рынка по причине низкого уровня прибыльн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высокого уровня инвестиционного риска;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значительные затраты на подготовку и </w:t>
      </w:r>
      <w:proofErr w:type="spell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найм</w:t>
      </w:r>
      <w:proofErr w:type="spell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персонала, связанные с в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соким образовательным цензом работников для организаций культуры;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рассредоточение организаций культуры в соответствии с размещением населения и создание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 самым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 территориальной монополии. В результ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чего в городе Краснодаре имеется краеведческий музей, цирк и театр кукол, театр оперетты, каждый из которых является единственным на своем рынке и, даже если появляются другие продавцы аналогичных услуг, например, частный театр, частная галерея, завоевать сложившийся рынок, полностью переключить 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себя потребителей им вряд ли удается. Это связано с тем, что 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завл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 таким рынком требуется больше затрат, чем удержать его;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барьеры, связанные с владением таким ресурсом, как уникальные сп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собности (талант) производителей культурных благ – художников, актеров, певцов;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патенты, авторские права и лицензии (правовые барьеры), выдаваемые государством, </w:t>
      </w:r>
      <w:proofErr w:type="gram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 их владельцам исключительные права контрол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ровать производство определенного продукта и защищают</w:t>
      </w:r>
      <w:proofErr w:type="gram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конкурентов.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Названные ограничения затрудняют появление на рынке культуры новых производителей, и, как следствие, </w:t>
      </w:r>
      <w:proofErr w:type="gramStart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ограничивают конкуренцию и поддерживают</w:t>
      </w:r>
      <w:proofErr w:type="gramEnd"/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над ценами имеющихся в отрасли производителей.</w:t>
      </w:r>
    </w:p>
    <w:p w:rsidR="00E51721" w:rsidRPr="00E31860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этом, учитывая динамику развития территории муниципального о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 город Краснодар, при подготовке проектов планировки территорий необходимо предусматривать территории для строительства детских школ и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кусств, центров культуры, библиотек, устройство рекреационных зон в соо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ветствии с действующими нормами градостроительного проектирования и м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тодикой определения нормативной потребности в объектах культуры и иску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31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ства.</w:t>
      </w:r>
    </w:p>
    <w:p w:rsidR="00E51721" w:rsidRPr="00463115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1721" w:rsidRPr="00463115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жилищно-коммунального хозяйства.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Жилищно-коммунальное хозяйство ‒ одна из наиболее социально знач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 отраслей городской экономики, поскольку от слаженной работы городских служб во многом зависит качество жизни, комфорт в домах горожан, чистота и порядок на улицах города.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жизнеобеспечения, по-прежнему, остаётся одним из приорите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направлений экономической и социальной политики администрации мун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образования город Краснодар. На протяжении последних лет пр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ведена большая работа по реализации мероприятий, связанных с благоустро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ством общегородских территорий, капитальным ремонтом общего имущества многоквартирных домов, строительством, реконструкцией и ремонтом объе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коммунального хозяйства.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на территории муниципального образования город Красн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  располагалось 7430 жилых многоквартирных домов общей площадью 18888,9 тысячи квадратных метров, находящихся под управлением управля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компаний, ТСЖ, ЖСК и осуществляющих непосредственное управление, в том числе: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- 5984 дома наход</w:t>
      </w:r>
      <w:r w:rsidR="0032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ились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85-ти Управляющих компаний,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- 1221 дом наход</w:t>
      </w:r>
      <w:r w:rsidR="0032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управлением ТСЖ и ЖСК,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- 225 домов наход</w:t>
      </w:r>
      <w:r w:rsidR="0032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ились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непосредственном управлении собственников помещений.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на территории муниципального образования город Красн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 располагалось 7684 жилых многоквартирных дома общей площадью 20509,8 тысячи квадратных метров, находящихся под управлением управля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компаний, ТСЖ, ЖСК, из которых: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- 6221 дом находи</w:t>
      </w:r>
      <w:r w:rsidR="00661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130 Управляющих компаний, 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- 1228 домов ‒ под управлением ТСЖ и ЖСК,</w:t>
      </w:r>
    </w:p>
    <w:p w:rsidR="00E51721" w:rsidRPr="00463115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- 235 домов ‒ в непосредственном управлении собственников помещений.</w:t>
      </w:r>
    </w:p>
    <w:p w:rsidR="00463115" w:rsidRPr="00463115" w:rsidRDefault="00463115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на территории муниципального образования город Красн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 располагалось 7736 жилых многоквартирных домов общей площадью 23322,7 тысячи квадратных метров, находящихся под управлением управля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компаний, ТСЖ, ЖСК, из которых:</w:t>
      </w:r>
    </w:p>
    <w:p w:rsidR="00463115" w:rsidRPr="00463115" w:rsidRDefault="00463115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- 5925 домов наход</w:t>
      </w:r>
      <w:r w:rsidR="00661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ились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16</w:t>
      </w:r>
      <w:r w:rsidR="0032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Управляющих компаний, что составляет 76,6 процента от общего количества многоквартирных домов;</w:t>
      </w:r>
    </w:p>
    <w:p w:rsidR="00463115" w:rsidRPr="00463115" w:rsidRDefault="00463115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- 1049 домов ‒ под управлением ТСЖ и ЖСК, что составляет 13,5 пр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цента от общего количества многоквартирных домов;</w:t>
      </w:r>
    </w:p>
    <w:p w:rsidR="00463115" w:rsidRPr="00463115" w:rsidRDefault="00463115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- 762 дома ‒ в непосредственном управлении собственников помещений, что составляет 9,8 процента от их общего количества.</w:t>
      </w:r>
    </w:p>
    <w:p w:rsidR="00E51721" w:rsidRPr="00E51721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green"/>
          <w:lang w:eastAsia="ru-RU"/>
        </w:rPr>
      </w:pPr>
    </w:p>
    <w:p w:rsidR="00E51721" w:rsidRPr="00463115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Структура управления жилищным фондом</w:t>
      </w:r>
    </w:p>
    <w:p w:rsidR="00E51721" w:rsidRPr="00E51721" w:rsidRDefault="00E51721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green"/>
          <w:lang w:eastAsia="ru-RU"/>
        </w:rPr>
      </w:pPr>
      <w:r w:rsidRPr="00E51721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59264" behindDoc="0" locked="0" layoutInCell="1" allowOverlap="1" wp14:anchorId="3FB15887" wp14:editId="119E1307">
            <wp:simplePos x="0" y="0"/>
            <wp:positionH relativeFrom="column">
              <wp:posOffset>196215</wp:posOffset>
            </wp:positionH>
            <wp:positionV relativeFrom="paragraph">
              <wp:posOffset>125730</wp:posOffset>
            </wp:positionV>
            <wp:extent cx="5695950" cy="2914650"/>
            <wp:effectExtent l="0" t="0" r="0" b="0"/>
            <wp:wrapNone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рост жилищного строительства в городе, структура управл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жилищным фондом в течение 201</w:t>
      </w:r>
      <w:r w:rsidR="00463115"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 2016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оставалась постоянной: на долю управляющих компаний приходится наибольший удельный вес обслуж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ваемых  многоквартирных домов (более </w:t>
      </w:r>
      <w:r w:rsidR="00463115"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Pr="00463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%), а на долю самих собственников 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помещений – наименьший (порядка </w:t>
      </w:r>
      <w:r w:rsidR="00463115"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рамках реализации муниципальной программы муниципального обр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город Краснодар «Энергосбережение и повышение энергетической э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фективности муниципального образования город Краснодар</w:t>
      </w:r>
      <w:r w:rsidRPr="009421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2014-2016 г</w:t>
      </w:r>
      <w:r w:rsidRPr="0094216B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 w:cs="Calibri"/>
          <w:sz w:val="28"/>
          <w:szCs w:val="28"/>
          <w:lang w:eastAsia="ru-RU"/>
        </w:rPr>
        <w:t>ды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утверждённой постановлением администрации муниципального образов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город Краснодар от 05.11.2014 № 7950, </w:t>
      </w:r>
      <w:r w:rsidR="0094216B"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протяжении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последних лет в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полнялись мероприятия по внедрению системы учёта фактического потребл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энергетических ресурсов и воды. </w:t>
      </w:r>
    </w:p>
    <w:p w:rsidR="00E51721" w:rsidRPr="00806E4C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мониторинга выполнения мероприятий представлены в та</w:t>
      </w: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7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</w:t>
      </w: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1721" w:rsidRP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806E4C" w:rsidRDefault="00E51721" w:rsidP="00AC065C">
      <w:pPr>
        <w:spacing w:after="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32"/>
        <w:gridCol w:w="1333"/>
        <w:gridCol w:w="1332"/>
        <w:gridCol w:w="1403"/>
        <w:gridCol w:w="1404"/>
      </w:tblGrid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ind w:left="-108" w:right="-86" w:hanging="13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 </w:t>
            </w:r>
          </w:p>
          <w:p w:rsidR="0094216B" w:rsidRPr="0094216B" w:rsidRDefault="0094216B" w:rsidP="00385675">
            <w:pPr>
              <w:spacing w:after="0" w:line="276" w:lineRule="auto"/>
              <w:ind w:left="-108" w:right="-8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01.01.2015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ind w:left="-86" w:right="-108"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 </w:t>
            </w:r>
          </w:p>
          <w:p w:rsidR="0094216B" w:rsidRPr="0094216B" w:rsidRDefault="0094216B" w:rsidP="00385675">
            <w:pPr>
              <w:spacing w:after="0" w:line="276" w:lineRule="auto"/>
              <w:ind w:left="-85" w:right="-8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01.01.2016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ind w:left="-130"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01.01.2017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2015/2014, %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2014, %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Количество многоква</w:t>
            </w: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тирных жилых домов в городе, единиц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7430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7684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7736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103,4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104,1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Установлено общедом</w:t>
            </w: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вых приборов учёта коммунальных услуг в многоквартирных домах, единиц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line="276" w:lineRule="auto"/>
              <w:jc w:val="center"/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line="276" w:lineRule="auto"/>
              <w:jc w:val="center"/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line="276" w:lineRule="auto"/>
              <w:jc w:val="center"/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line="276" w:lineRule="auto"/>
              <w:jc w:val="center"/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тепловой энергии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1717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1794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2082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104,5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121,3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горячего</w:t>
            </w:r>
          </w:p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водоснабжения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1646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1669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1830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101,4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111,2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холодного</w:t>
            </w:r>
          </w:p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водоснабжения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3586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3599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3787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100,4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105,6</w:t>
            </w:r>
          </w:p>
        </w:tc>
      </w:tr>
      <w:tr w:rsidR="0094216B" w:rsidRPr="0094216B" w:rsidTr="0094216B">
        <w:tc>
          <w:tcPr>
            <w:tcW w:w="2835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электроэнергии</w:t>
            </w:r>
          </w:p>
        </w:tc>
        <w:tc>
          <w:tcPr>
            <w:tcW w:w="1332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3655</w:t>
            </w:r>
          </w:p>
        </w:tc>
        <w:tc>
          <w:tcPr>
            <w:tcW w:w="133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16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3868</w:t>
            </w:r>
          </w:p>
        </w:tc>
        <w:tc>
          <w:tcPr>
            <w:tcW w:w="1332" w:type="dxa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4067</w:t>
            </w:r>
          </w:p>
        </w:tc>
        <w:tc>
          <w:tcPr>
            <w:tcW w:w="1403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105,8</w:t>
            </w:r>
          </w:p>
        </w:tc>
        <w:tc>
          <w:tcPr>
            <w:tcW w:w="1404" w:type="dxa"/>
            <w:shd w:val="clear" w:color="auto" w:fill="auto"/>
          </w:tcPr>
          <w:p w:rsidR="0094216B" w:rsidRPr="0094216B" w:rsidRDefault="0094216B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111,3</w:t>
            </w:r>
          </w:p>
        </w:tc>
      </w:tr>
    </w:tbl>
    <w:p w:rsidR="00E51721" w:rsidRP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594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четвертая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многоквартирных жилых домов в городе оснащена приборами учёта тепловой энергии и горячего водоснабжения, пол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вина домов оснащена общедомовыми приборами учёта холодного водоснабж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и электрической энергии. </w:t>
      </w:r>
      <w:r w:rsidR="0094216B"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года наблюдается тенденция постоянного увеличения многоквартирных жилых домов, оснащённых общедомовыми пр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борами учёта коммунальных услуг.</w:t>
      </w:r>
    </w:p>
    <w:p w:rsidR="00E51721" w:rsidRPr="00C23C77" w:rsidRDefault="00E51721" w:rsidP="00AC06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к</w:t>
      </w:r>
      <w:r w:rsidRPr="00C23C77">
        <w:rPr>
          <w:rFonts w:ascii="Times New Roman" w:eastAsia="Times New Roman" w:hAnsi="Times New Roman"/>
          <w:sz w:val="28"/>
          <w:szCs w:val="28"/>
          <w:lang w:eastAsia="ru-RU"/>
        </w:rPr>
        <w:t xml:space="preserve">омфортных условий в домах горожан напрямую зависит от уровня и качества функционирования городских коммунальных служб. </w:t>
      </w:r>
    </w:p>
    <w:p w:rsidR="00E51721" w:rsidRPr="00C23C77" w:rsidRDefault="00E51721" w:rsidP="00AC06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C77">
        <w:rPr>
          <w:rFonts w:ascii="Times New Roman" w:hAnsi="Times New Roman"/>
          <w:sz w:val="28"/>
          <w:szCs w:val="28"/>
          <w:lang w:eastAsia="ru-RU"/>
        </w:rPr>
        <w:t>В муниципальном образовании город Краснодар осуществляют деятел</w:t>
      </w:r>
      <w:r w:rsidRPr="00C23C77">
        <w:rPr>
          <w:rFonts w:ascii="Times New Roman" w:hAnsi="Times New Roman"/>
          <w:sz w:val="28"/>
          <w:szCs w:val="28"/>
          <w:lang w:eastAsia="ru-RU"/>
        </w:rPr>
        <w:t>ь</w:t>
      </w:r>
      <w:r w:rsidRPr="00C23C77">
        <w:rPr>
          <w:rFonts w:ascii="Times New Roman" w:hAnsi="Times New Roman"/>
          <w:sz w:val="28"/>
          <w:szCs w:val="28"/>
          <w:lang w:eastAsia="ru-RU"/>
        </w:rPr>
        <w:t xml:space="preserve">ность 210 хозяйствующих субъектов жилищно-коммунального комплекса. </w:t>
      </w:r>
    </w:p>
    <w:p w:rsid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68B" w:rsidRDefault="00E7768B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68B" w:rsidRPr="00C23C77" w:rsidRDefault="00E7768B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C23C77" w:rsidRDefault="00E51721" w:rsidP="00AC065C">
      <w:pPr>
        <w:spacing w:after="0" w:line="276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079"/>
        <w:gridCol w:w="1079"/>
        <w:gridCol w:w="1079"/>
      </w:tblGrid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2016 год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Всего организаций жилищно-коммунального комплекса  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146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210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293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том числе по видам деятельности:</w:t>
            </w: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управление многоквартирными домами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166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водоснабжение, водоотведение и очистка сточных вод  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43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электроснабжение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27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теплоснабжение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34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газоснабжение  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утилизация (захоронение) твердых бытовых отходов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многоотраслевые организации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C23C77" w:rsidRPr="00C23C77" w:rsidTr="002F72C1">
        <w:tc>
          <w:tcPr>
            <w:tcW w:w="6379" w:type="dxa"/>
            <w:shd w:val="clear" w:color="auto" w:fill="auto"/>
          </w:tcPr>
          <w:p w:rsidR="00C23C77" w:rsidRPr="00C23C77" w:rsidRDefault="00C23C77" w:rsidP="0038567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содержание и ремонт общего имущества в многокварти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ных домах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079" w:type="dxa"/>
          </w:tcPr>
          <w:p w:rsidR="00C23C77" w:rsidRPr="00C23C77" w:rsidRDefault="00C23C77" w:rsidP="004638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19</w:t>
            </w:r>
          </w:p>
        </w:tc>
      </w:tr>
    </w:tbl>
    <w:p w:rsidR="00E51721" w:rsidRPr="00C23C77" w:rsidRDefault="00E51721" w:rsidP="00AC065C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721" w:rsidRPr="00C23C77" w:rsidRDefault="00E51721" w:rsidP="00AC065C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721" w:rsidRPr="00C23C77" w:rsidRDefault="00E51721" w:rsidP="00AC065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23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коммунальной инфраструктуры в 2013 – 201</w:t>
      </w:r>
      <w:r w:rsidR="00E776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C23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годах</w:t>
      </w:r>
    </w:p>
    <w:p w:rsidR="00806E4C" w:rsidRPr="00C23C77" w:rsidRDefault="00806E4C" w:rsidP="00AC065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C23C77" w:rsidRDefault="00E51721" w:rsidP="00AC065C">
      <w:pPr>
        <w:spacing w:after="0" w:line="276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C77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E51721" w:rsidRPr="00C23C77" w:rsidTr="0066738F">
        <w:trPr>
          <w:trHeight w:hRule="exact" w:val="284"/>
          <w:tblHeader/>
        </w:trPr>
        <w:tc>
          <w:tcPr>
            <w:tcW w:w="6237" w:type="dxa"/>
            <w:vMerge w:val="restart"/>
            <w:vAlign w:val="center"/>
          </w:tcPr>
          <w:p w:rsidR="00E51721" w:rsidRPr="00C23C77" w:rsidRDefault="00E51721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3402" w:type="dxa"/>
            <w:gridSpan w:val="3"/>
            <w:vAlign w:val="bottom"/>
          </w:tcPr>
          <w:p w:rsidR="00E51721" w:rsidRPr="00C23C77" w:rsidRDefault="00E51721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</w:p>
        </w:tc>
      </w:tr>
      <w:tr w:rsidR="00C23C77" w:rsidRPr="00C23C77" w:rsidTr="0066738F">
        <w:trPr>
          <w:trHeight w:hRule="exact" w:val="284"/>
          <w:tblHeader/>
        </w:trPr>
        <w:tc>
          <w:tcPr>
            <w:tcW w:w="6237" w:type="dxa"/>
            <w:vMerge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23C77" w:rsidRPr="00C23C77" w:rsidRDefault="00C23C77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vAlign w:val="bottom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bottom"/>
          </w:tcPr>
          <w:p w:rsidR="00C23C77" w:rsidRPr="00C23C77" w:rsidRDefault="00C23C77" w:rsidP="00C23C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23C77" w:rsidRPr="00C23C77" w:rsidTr="0066738F">
        <w:trPr>
          <w:trHeight w:hRule="exact" w:val="284"/>
        </w:trPr>
        <w:tc>
          <w:tcPr>
            <w:tcW w:w="6237" w:type="dxa"/>
          </w:tcPr>
          <w:p w:rsidR="00C23C77" w:rsidRPr="00C23C77" w:rsidRDefault="00C23C77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Водопроводы</w:t>
            </w:r>
          </w:p>
        </w:tc>
        <w:tc>
          <w:tcPr>
            <w:tcW w:w="1134" w:type="dxa"/>
            <w:vAlign w:val="bottom"/>
          </w:tcPr>
          <w:p w:rsidR="00C23C77" w:rsidRPr="00C23C77" w:rsidRDefault="00C23C77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3C77" w:rsidRPr="00C23C77" w:rsidRDefault="00C23C77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92F" w:rsidRPr="00C23C77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водопроводов на конец года, тыс. куб. м. в сутки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4E492F" w:rsidRPr="00C23C77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Одиночное протяжение уличной водопроводной сети на конец года, </w:t>
            </w:r>
            <w:proofErr w:type="gramStart"/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1719,42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1719,42</w:t>
            </w:r>
          </w:p>
        </w:tc>
      </w:tr>
      <w:tr w:rsidR="004E492F" w:rsidRPr="00C23C77" w:rsidTr="0066738F">
        <w:trPr>
          <w:trHeight w:hRule="exact" w:val="284"/>
        </w:trPr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Отпущено воды всем потребителям, тыс. куб. м.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65300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68604,12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69756</w:t>
            </w:r>
          </w:p>
        </w:tc>
      </w:tr>
      <w:tr w:rsidR="004E492F" w:rsidRPr="00C23C77" w:rsidTr="0066738F">
        <w:trPr>
          <w:trHeight w:hRule="exact" w:val="284"/>
        </w:trPr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92F" w:rsidRPr="00C23C77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Установленная пропускная способность очистных соор</w:t>
            </w: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жений на конец года, тыс. куб. м. в сутки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520,9</w:t>
            </w:r>
          </w:p>
        </w:tc>
      </w:tr>
      <w:tr w:rsidR="004E492F" w:rsidRPr="00C23C77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Одиночное протяжение уличной канализационной сети на конец года, </w:t>
            </w:r>
            <w:proofErr w:type="gramStart"/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1113,4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1113,4</w:t>
            </w:r>
          </w:p>
        </w:tc>
      </w:tr>
      <w:tr w:rsidR="004E492F" w:rsidRPr="00C23C77" w:rsidTr="0066738F">
        <w:trPr>
          <w:trHeight w:hRule="exact" w:val="284"/>
        </w:trPr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92F" w:rsidRPr="00C23C77" w:rsidTr="0066738F">
        <w:trPr>
          <w:trHeight w:hRule="exact" w:val="284"/>
        </w:trPr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источников теплоснабжения  на конец года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4E492F" w:rsidRPr="00C23C77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тепловых и паровых сетей на конец года, </w:t>
            </w:r>
            <w:proofErr w:type="gramStart"/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788,3</w:t>
            </w:r>
          </w:p>
        </w:tc>
      </w:tr>
      <w:tr w:rsidR="004E492F" w:rsidRPr="00E51721" w:rsidTr="0066738F">
        <w:tc>
          <w:tcPr>
            <w:tcW w:w="6237" w:type="dxa"/>
          </w:tcPr>
          <w:p w:rsidR="004E492F" w:rsidRPr="00C23C77" w:rsidRDefault="004E492F" w:rsidP="00385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Отпущено тепловой энергии своим потребителям, тыс. Гкал</w:t>
            </w:r>
          </w:p>
        </w:tc>
        <w:tc>
          <w:tcPr>
            <w:tcW w:w="1134" w:type="dxa"/>
          </w:tcPr>
          <w:p w:rsidR="004E492F" w:rsidRPr="00C23C77" w:rsidRDefault="004E492F" w:rsidP="001955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134" w:type="dxa"/>
          </w:tcPr>
          <w:p w:rsidR="004E492F" w:rsidRPr="00FE4D08" w:rsidRDefault="004E492F" w:rsidP="00463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3336,39</w:t>
            </w:r>
          </w:p>
        </w:tc>
        <w:tc>
          <w:tcPr>
            <w:tcW w:w="1134" w:type="dxa"/>
          </w:tcPr>
          <w:p w:rsidR="004E492F" w:rsidRPr="00C23C77" w:rsidRDefault="004E492F" w:rsidP="00385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3574,96</w:t>
            </w:r>
          </w:p>
        </w:tc>
      </w:tr>
    </w:tbl>
    <w:p w:rsidR="00E51721" w:rsidRPr="00E51721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Теплоснабжение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жилых массивов и объектов социальной сферы города осуществляется ООО «Лукойл-Кубаньэнерго» (Краснодарская ТЭЦ) и </w:t>
      </w:r>
      <w:r w:rsidRPr="0094216B">
        <w:rPr>
          <w:rFonts w:ascii="Times New Roman" w:eastAsia="Times New Roman" w:hAnsi="Times New Roman"/>
          <w:sz w:val="28"/>
          <w:szCs w:val="28"/>
          <w:lang w:eastAsia="ru-RU"/>
        </w:rPr>
        <w:t>260 м</w:t>
      </w:r>
      <w:r w:rsidRPr="009421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216B">
        <w:rPr>
          <w:rFonts w:ascii="Times New Roman" w:eastAsia="Times New Roman" w:hAnsi="Times New Roman"/>
          <w:sz w:val="28"/>
          <w:szCs w:val="28"/>
          <w:lang w:eastAsia="ru-RU"/>
        </w:rPr>
        <w:t>ниципальными и ведомственными котельными.</w:t>
      </w: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крупнейших поставщиков тепла в Краснодарском крае является ОАО «Автономная теплоэнергетическая компания» (АТЭК), которая обеспеч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вает теплом и горячей водой жителей краевого центра. В структуру ОАО «А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тономная теплоэнергетическая компания» вход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171 котельная с установле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тепловой мощностью 998,35 Гкал/</w:t>
      </w:r>
      <w:proofErr w:type="gramStart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139 ЦТП (центральных тепловых пунктов) и тепловые сети общей протяжённостью 572,2 километра в городе Краснодаре.</w:t>
      </w: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ООО «Краснодар Водоканал»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обслуживает более 93 процентов насел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города, оказывая услуги по водоснабжению и водоотведению. В силу ге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логического расположения Краснодара добыча воды ведется только из подзе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источников артезианских скважин глубиной от 80 до 800 метров. Сущ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ствующая система водоснабжения состоит из 11 крупных водозаборных соор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жений. Системой водоснабжения ежедневно подается потребителям города около 300 тысяч кубических метров воды в сутки. Суммарная протяженность водопроводных сетей, обслуживаемых ООО «Краснодар Водоканал», составл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свыше 1200 км.</w:t>
      </w: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Электроснабжение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краевого центра осуществляется от 39 независимых понизительных подстанций, обслуживаемых подразделениями и службами Краснодарских электрических сетей ПАО «Кубаньэнерго». Основной вид деятельности Общества в настоящее время – передача и распределение электроэнергии по электрическим сетям напряжением 110 </w:t>
      </w:r>
      <w:proofErr w:type="spellStart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ниже для п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требителей электроэнергии Краснодарского края и Республики Адыгея. Общая протяженность линий электропередачи составляет 488,4 км. В городе энерг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снабжение, ремонт и техническое обслуживание сетей осуществляет филиал ООО «НЭСК-электросети» «</w:t>
      </w:r>
      <w:proofErr w:type="spellStart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Краснодарэлектросеть</w:t>
      </w:r>
      <w:proofErr w:type="spellEnd"/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E51721" w:rsidRPr="0094216B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1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Газоснабжение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осуществляется через разветвленную сеть газопроводов. В настоящее время в Краснодаре газифицировано более 260 000 квартир и частных домов, 13700 промышленных предприятий, организаций и объектов коммунально-бытового назначения. Газоснабжение потребителей осуществляется через разветвленную сеть газопроводов (3,8 тысячи км, из них более 1,2 тысяч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— подземных). Кроме газопроводов, в состав системы г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зоснабжения, входят различные технологические сооружения и технические устройства, такие как газораспределительные пункты (612 шт.), средства эле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трохимической защиты газопроводов (667 шт.), отключающие устройства и другое технологическое оборудование, необходимое для нормального функц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онирования системы газоснабжения. Действующая система газоснабжения г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 в полной мере обеспечивает устойчивое и безопасное газоснабжение гор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4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да. </w:t>
      </w:r>
    </w:p>
    <w:p w:rsid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68B" w:rsidRDefault="00E7768B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68B" w:rsidRPr="0066738F" w:rsidRDefault="00E7768B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1721" w:rsidRPr="0066738F" w:rsidRDefault="00E51721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67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Анализ рынка услуг жилищно-коммунального хозяйства</w:t>
      </w:r>
    </w:p>
    <w:p w:rsidR="00E51721" w:rsidRPr="00E51721" w:rsidRDefault="00E51721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</w:pPr>
    </w:p>
    <w:p w:rsidR="00E51721" w:rsidRPr="00B424A8" w:rsidRDefault="00E51721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Анализируя оценку удовлетворенности населения количеством организ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функционирующих на рынке услуг жилищно-коммунального хозяйства, можно отметить, что 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опрошенного 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– 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>3225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век) 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>указали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организаций в этой сфере достаточно. 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>Еще треть – 29% сч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7DBD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тают, что организаций в избытке (2120 человек). 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>Четвертая часть участников анкетирования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>1635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– счита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>т, что организаций жилищно-коммунального хозяйства в горо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де мало, а 3% граждан, что 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нет совсем – </w:t>
      </w:r>
      <w:r w:rsidR="00B424A8" w:rsidRPr="00B424A8">
        <w:rPr>
          <w:rFonts w:ascii="Times New Roman" w:eastAsia="Times New Roman" w:hAnsi="Times New Roman"/>
          <w:sz w:val="28"/>
          <w:szCs w:val="28"/>
          <w:lang w:eastAsia="ru-RU"/>
        </w:rPr>
        <w:t>225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66738F" w:rsidRPr="00B424A8" w:rsidRDefault="0066738F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8F" w:rsidRPr="00B424A8" w:rsidRDefault="0066738F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A8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4CC12A" wp14:editId="339B6F5B">
            <wp:extent cx="4238625" cy="2247900"/>
            <wp:effectExtent l="0" t="0" r="9525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6738F" w:rsidRPr="00B424A8" w:rsidRDefault="0066738F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8F" w:rsidRDefault="00E51721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опроса показал, что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преобладающее большинство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анкетирования довольн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характеристиками услуг, представленных на рынке жилищно-коммунального хозяйства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ариант ответа «удовлетворен» выбрали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4293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). Всего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886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указали ответ «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уд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влетворен» и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2 человека) – «скорее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удовлетворен». Ответ «скорее удовлетворен» 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выбрали 12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854</w:t>
      </w:r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</w:t>
      </w:r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</w:t>
      </w:r>
      <w:proofErr w:type="gramStart"/>
      <w:r w:rsidR="0000753C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="0000753C" w:rsidRPr="00B424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753C" w:rsidRPr="00B424A8" w:rsidRDefault="0000753C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8F" w:rsidRPr="00B424A8" w:rsidRDefault="0066738F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A8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D0BBCB7" wp14:editId="76539D55">
            <wp:extent cx="4219575" cy="2314575"/>
            <wp:effectExtent l="0" t="0" r="9525" b="952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6738F" w:rsidRPr="00B424A8" w:rsidRDefault="0066738F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62" w:rsidRDefault="00A4586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Мнения представителей данной сферы услуг в отношении мер сохран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рыночных позиций своего бизнеса разделились поровну: треть опроше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считает, что конкуренция в данной сфере предоставления услуг «умере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ная», треть – что «слабая», еще треть – что конкуренции на рынке нет. Однако 7% предпринимателей считают уровень конкуренции на рынке услуг ЖКХ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соким.</w:t>
      </w:r>
    </w:p>
    <w:p w:rsidR="00A45862" w:rsidRDefault="00A45862" w:rsidP="00AC065C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862" w:rsidRDefault="00A45862" w:rsidP="00AC065C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C7B274" wp14:editId="0815C743">
            <wp:extent cx="4429125" cy="2314575"/>
            <wp:effectExtent l="0" t="0" r="9525" b="9525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45862" w:rsidRDefault="00A45862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862" w:rsidRDefault="00A45862" w:rsidP="00AC06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оценки действий органов власти на рынке услуг ЖКХ мнения опрошенных также неоднозначны: если четверть предпринимателей считают, что о</w:t>
      </w:r>
      <w:r w:rsidRPr="007C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рганы власти помогают бизнесу своими действиями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более 30% счит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ют, что органы власти либо ничего не предпринимают, либо мешают бизнесу своими действиями; но более 46% человек считают, что в</w:t>
      </w:r>
      <w:r w:rsidRPr="007C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чем-то органы власти помогают, в чем-то мешают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бизнесу.</w:t>
      </w:r>
      <w:proofErr w:type="gramEnd"/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формирования конкурентной среды в жилищно-коммунальном хозяйстве</w:t>
      </w:r>
      <w:r w:rsidR="00A168CB"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по-прежнему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затрудняют: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процесс подключения к энергетической инфраструктуре новых пре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приятий;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длительные процедуры, а также высокие цены на подключение к эле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трическим, газовым сетям, системам тепл</w:t>
      </w:r>
      <w:proofErr w:type="gramStart"/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водоснабжения;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высокий уровень физического износа основных фондов жилищно-коммунального хозяйства и устаревшие технологии; 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ограниченные инвестиционные ресурсы и затратные методы потребл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жилищно-коммунальных услуг;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низкая вовлеченность предприятий малого и среднего предприним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 в оказание таких услуг, как уборка придомовых территорий, подъездов домов, озеленение придомовых территорий, мелкий ремонт домов, техническое обслуживание домов;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нежелание и неготовность граждан самостоятельно заниматься вопр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сами управления жилищным фондом, вступать в товарищества собственников жилья; </w:t>
      </w:r>
    </w:p>
    <w:p w:rsidR="00E51721" w:rsidRPr="00A168C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построение диалога с общественностью с целью активизации выбора способа управления многоквартирными домами.</w:t>
      </w:r>
    </w:p>
    <w:p w:rsidR="00E51721" w:rsidRPr="00A168CB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A168CB" w:rsidRDefault="00E51721" w:rsidP="00AC065C">
      <w:pPr>
        <w:spacing w:after="0" w:line="276" w:lineRule="auto"/>
        <w:ind w:firstLine="708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68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розничной торговли</w:t>
      </w:r>
    </w:p>
    <w:p w:rsidR="00E51721" w:rsidRPr="00E51721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 w:rsidRPr="000B064E">
        <w:rPr>
          <w:rFonts w:ascii="Times New Roman" w:hAnsi="Times New Roman"/>
          <w:sz w:val="28"/>
          <w:szCs w:val="28"/>
        </w:rPr>
        <w:t>Краснодар, как столица К</w:t>
      </w:r>
      <w:r>
        <w:rPr>
          <w:rFonts w:ascii="Times New Roman" w:hAnsi="Times New Roman"/>
          <w:sz w:val="28"/>
          <w:szCs w:val="28"/>
        </w:rPr>
        <w:t>раснодарского края</w:t>
      </w:r>
      <w:r w:rsidRPr="000B064E">
        <w:rPr>
          <w:rFonts w:ascii="Times New Roman" w:hAnsi="Times New Roman"/>
          <w:sz w:val="28"/>
          <w:szCs w:val="28"/>
        </w:rPr>
        <w:t>, выступает в качестве це</w:t>
      </w:r>
      <w:r w:rsidRPr="000B064E">
        <w:rPr>
          <w:rFonts w:ascii="Times New Roman" w:hAnsi="Times New Roman"/>
          <w:sz w:val="28"/>
          <w:szCs w:val="28"/>
        </w:rPr>
        <w:t>н</w:t>
      </w:r>
      <w:r w:rsidRPr="000B064E">
        <w:rPr>
          <w:rFonts w:ascii="Times New Roman" w:hAnsi="Times New Roman"/>
          <w:sz w:val="28"/>
          <w:szCs w:val="28"/>
        </w:rPr>
        <w:t>трального зве</w:t>
      </w:r>
      <w:r>
        <w:rPr>
          <w:rFonts w:ascii="Times New Roman" w:hAnsi="Times New Roman"/>
          <w:sz w:val="28"/>
          <w:szCs w:val="28"/>
        </w:rPr>
        <w:t xml:space="preserve">на потребительского рынка края. </w:t>
      </w:r>
      <w:r w:rsidRPr="000B064E">
        <w:rPr>
          <w:rFonts w:ascii="Times New Roman" w:hAnsi="Times New Roman"/>
          <w:sz w:val="28"/>
          <w:szCs w:val="28"/>
        </w:rPr>
        <w:t>В нем сконцентрировано знач</w:t>
      </w:r>
      <w:r w:rsidRPr="000B064E">
        <w:rPr>
          <w:rFonts w:ascii="Times New Roman" w:hAnsi="Times New Roman"/>
          <w:sz w:val="28"/>
          <w:szCs w:val="28"/>
        </w:rPr>
        <w:t>и</w:t>
      </w:r>
      <w:r w:rsidRPr="000B064E">
        <w:rPr>
          <w:rFonts w:ascii="Times New Roman" w:hAnsi="Times New Roman"/>
          <w:sz w:val="28"/>
          <w:szCs w:val="28"/>
        </w:rPr>
        <w:t>тельное количество предприятий торговли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064E">
        <w:rPr>
          <w:rFonts w:ascii="Times New Roman" w:hAnsi="Times New Roman"/>
          <w:sz w:val="28"/>
          <w:szCs w:val="28"/>
        </w:rPr>
        <w:t>в 201</w:t>
      </w:r>
      <w:r w:rsidR="005B7951">
        <w:rPr>
          <w:rFonts w:ascii="Times New Roman" w:hAnsi="Times New Roman"/>
          <w:sz w:val="28"/>
          <w:szCs w:val="28"/>
        </w:rPr>
        <w:t>4</w:t>
      </w:r>
      <w:r w:rsidRPr="000B064E">
        <w:rPr>
          <w:rFonts w:ascii="Times New Roman" w:hAnsi="Times New Roman"/>
          <w:sz w:val="28"/>
          <w:szCs w:val="28"/>
        </w:rPr>
        <w:t xml:space="preserve"> – 201</w:t>
      </w:r>
      <w:r w:rsidR="005B7951">
        <w:rPr>
          <w:rFonts w:ascii="Times New Roman" w:hAnsi="Times New Roman"/>
          <w:sz w:val="28"/>
          <w:szCs w:val="28"/>
        </w:rPr>
        <w:t>6</w:t>
      </w:r>
      <w:r w:rsidRPr="000B064E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оборот розни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ной торговли города </w:t>
      </w:r>
      <w:r w:rsidRPr="000B064E">
        <w:rPr>
          <w:rFonts w:ascii="Times New Roman" w:hAnsi="Times New Roman"/>
          <w:sz w:val="28"/>
          <w:szCs w:val="28"/>
        </w:rPr>
        <w:t>достиг формирования 40% всего розничного товарообор</w:t>
      </w:r>
      <w:r w:rsidRPr="000B064E">
        <w:rPr>
          <w:rFonts w:ascii="Times New Roman" w:hAnsi="Times New Roman"/>
          <w:sz w:val="28"/>
          <w:szCs w:val="28"/>
        </w:rPr>
        <w:t>о</w:t>
      </w:r>
      <w:r w:rsidRPr="000B064E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Кубани.</w:t>
      </w:r>
    </w:p>
    <w:p w:rsidR="000B064E" w:rsidRPr="0099544E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 w:rsidRPr="000B064E">
        <w:rPr>
          <w:rFonts w:ascii="Times New Roman" w:hAnsi="Times New Roman"/>
          <w:sz w:val="28"/>
          <w:szCs w:val="28"/>
        </w:rPr>
        <w:t>Одним из наиболее значимых моментов развития розничной торговли можно считать качественное изменение ее форматов. Заметно сократилось к</w:t>
      </w:r>
      <w:r w:rsidRPr="000B064E">
        <w:rPr>
          <w:rFonts w:ascii="Times New Roman" w:hAnsi="Times New Roman"/>
          <w:sz w:val="28"/>
          <w:szCs w:val="28"/>
        </w:rPr>
        <w:t>о</w:t>
      </w:r>
      <w:r w:rsidRPr="000B064E">
        <w:rPr>
          <w:rFonts w:ascii="Times New Roman" w:hAnsi="Times New Roman"/>
          <w:sz w:val="28"/>
          <w:szCs w:val="28"/>
        </w:rPr>
        <w:t>личество объектов мелкорозничной торговли, при этом возросло число супе</w:t>
      </w:r>
      <w:proofErr w:type="gramStart"/>
      <w:r w:rsidRPr="000B064E">
        <w:rPr>
          <w:rFonts w:ascii="Times New Roman" w:hAnsi="Times New Roman"/>
          <w:sz w:val="28"/>
          <w:szCs w:val="28"/>
        </w:rPr>
        <w:t>р</w:t>
      </w:r>
      <w:r w:rsidR="001D3FE7">
        <w:rPr>
          <w:rFonts w:ascii="Times New Roman" w:hAnsi="Times New Roman"/>
          <w:sz w:val="28"/>
          <w:szCs w:val="28"/>
        </w:rPr>
        <w:t>-</w:t>
      </w:r>
      <w:proofErr w:type="gramEnd"/>
      <w:r w:rsidRPr="000B064E">
        <w:rPr>
          <w:rFonts w:ascii="Times New Roman" w:hAnsi="Times New Roman"/>
          <w:sz w:val="28"/>
          <w:szCs w:val="28"/>
        </w:rPr>
        <w:t xml:space="preserve"> и гипермаркетов, торговых и торгово-развлекательных центров. По обеспеченн</w:t>
      </w:r>
      <w:r w:rsidRPr="000B064E">
        <w:rPr>
          <w:rFonts w:ascii="Times New Roman" w:hAnsi="Times New Roman"/>
          <w:sz w:val="28"/>
          <w:szCs w:val="28"/>
        </w:rPr>
        <w:t>о</w:t>
      </w:r>
      <w:r w:rsidRPr="000B064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 торговыми площадями (13</w:t>
      </w:r>
      <w:r w:rsidR="005B795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B064E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0B064E">
        <w:rPr>
          <w:rFonts w:ascii="Times New Roman" w:hAnsi="Times New Roman"/>
          <w:sz w:val="28"/>
          <w:szCs w:val="28"/>
        </w:rPr>
        <w:t xml:space="preserve"> на 1000 жителей) Краснодар опережает все региональ</w:t>
      </w:r>
      <w:r w:rsidR="005B7951">
        <w:rPr>
          <w:rFonts w:ascii="Times New Roman" w:hAnsi="Times New Roman"/>
          <w:sz w:val="28"/>
          <w:szCs w:val="28"/>
        </w:rPr>
        <w:t>ные центры Российской Федерации</w:t>
      </w:r>
      <w:r w:rsidRPr="000B06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64E">
        <w:rPr>
          <w:rFonts w:ascii="Times New Roman" w:hAnsi="Times New Roman"/>
          <w:sz w:val="28"/>
          <w:szCs w:val="28"/>
        </w:rPr>
        <w:t>А это говорит о комфортн</w:t>
      </w:r>
      <w:r w:rsidRPr="000B064E">
        <w:rPr>
          <w:rFonts w:ascii="Times New Roman" w:hAnsi="Times New Roman"/>
          <w:sz w:val="28"/>
          <w:szCs w:val="28"/>
        </w:rPr>
        <w:t>о</w:t>
      </w:r>
      <w:r w:rsidRPr="000B064E">
        <w:rPr>
          <w:rFonts w:ascii="Times New Roman" w:hAnsi="Times New Roman"/>
          <w:sz w:val="28"/>
          <w:szCs w:val="28"/>
        </w:rPr>
        <w:t xml:space="preserve">сти и доступности </w:t>
      </w:r>
      <w:r w:rsidRPr="0099544E">
        <w:rPr>
          <w:rFonts w:ascii="Times New Roman" w:hAnsi="Times New Roman"/>
          <w:sz w:val="28"/>
          <w:szCs w:val="28"/>
        </w:rPr>
        <w:t>торговой сети для населения.</w:t>
      </w:r>
    </w:p>
    <w:p w:rsidR="000B064E" w:rsidRPr="0099544E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64E" w:rsidRPr="0099544E" w:rsidRDefault="000B064E" w:rsidP="00AC065C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544E">
        <w:rPr>
          <w:rFonts w:ascii="Times New Roman" w:hAnsi="Times New Roman"/>
          <w:b/>
          <w:i/>
          <w:sz w:val="28"/>
          <w:szCs w:val="28"/>
        </w:rPr>
        <w:t>Структура розничной торговой сети Краснодара</w:t>
      </w:r>
    </w:p>
    <w:p w:rsidR="000B064E" w:rsidRPr="0099544E" w:rsidRDefault="000B064E" w:rsidP="00AC065C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064E" w:rsidRPr="000B064E" w:rsidRDefault="00806E4C" w:rsidP="00AC065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99544E">
        <w:rPr>
          <w:rFonts w:ascii="Times New Roman" w:hAnsi="Times New Roman"/>
          <w:sz w:val="28"/>
          <w:szCs w:val="28"/>
        </w:rPr>
        <w:t>Таблица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617"/>
        <w:gridCol w:w="1701"/>
        <w:gridCol w:w="1701"/>
      </w:tblGrid>
      <w:tr w:rsidR="000B064E" w:rsidRPr="000B064E" w:rsidTr="000B064E">
        <w:trPr>
          <w:trHeight w:val="320"/>
        </w:trPr>
        <w:tc>
          <w:tcPr>
            <w:tcW w:w="4786" w:type="dxa"/>
            <w:vMerge w:val="restart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Субъекты розничной торговли</w:t>
            </w:r>
          </w:p>
        </w:tc>
        <w:tc>
          <w:tcPr>
            <w:tcW w:w="5019" w:type="dxa"/>
            <w:gridSpan w:val="3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Количество объектов</w:t>
            </w:r>
          </w:p>
        </w:tc>
      </w:tr>
      <w:tr w:rsidR="000B064E" w:rsidRPr="000B064E" w:rsidTr="000B064E">
        <w:trPr>
          <w:trHeight w:val="258"/>
        </w:trPr>
        <w:tc>
          <w:tcPr>
            <w:tcW w:w="4786" w:type="dxa"/>
            <w:vMerge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2014 год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2015 год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 год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Супе</w:t>
            </w:r>
            <w:proofErr w:type="gramStart"/>
            <w:r w:rsidRPr="000B064E">
              <w:rPr>
                <w:rFonts w:ascii="Times New Roman" w:hAnsi="Times New Roman"/>
                <w:sz w:val="24"/>
                <w:szCs w:val="28"/>
              </w:rPr>
              <w:t>р-</w:t>
            </w:r>
            <w:proofErr w:type="gramEnd"/>
            <w:r w:rsidRPr="000B064E">
              <w:rPr>
                <w:rFonts w:ascii="Times New Roman" w:hAnsi="Times New Roman"/>
                <w:sz w:val="24"/>
                <w:szCs w:val="28"/>
              </w:rPr>
              <w:t xml:space="preserve"> и гипермаркеты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416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419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435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Стационарные магазины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7831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7860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7972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Рынки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Аптеки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343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355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Специализированные непродовольственные магазины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5160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5231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5280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Специализированные продовольственные магазины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2625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2629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2692</w:t>
            </w:r>
          </w:p>
        </w:tc>
      </w:tr>
      <w:tr w:rsidR="000B064E" w:rsidRPr="000B064E" w:rsidTr="000B064E">
        <w:tc>
          <w:tcPr>
            <w:tcW w:w="4786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Автосалоны</w:t>
            </w:r>
          </w:p>
        </w:tc>
        <w:tc>
          <w:tcPr>
            <w:tcW w:w="1617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0B064E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064E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0B064E" w:rsidRPr="000B064E" w:rsidRDefault="005B7951" w:rsidP="003856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</w:tbl>
    <w:p w:rsidR="000B064E" w:rsidRPr="000B064E" w:rsidRDefault="000B064E" w:rsidP="00AC065C">
      <w:pPr>
        <w:spacing w:after="0" w:line="276" w:lineRule="auto"/>
        <w:jc w:val="both"/>
        <w:rPr>
          <w:sz w:val="28"/>
          <w:szCs w:val="28"/>
        </w:rPr>
      </w:pPr>
    </w:p>
    <w:p w:rsidR="000B064E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 w:rsidRPr="000B064E">
        <w:rPr>
          <w:rFonts w:ascii="Times New Roman" w:hAnsi="Times New Roman"/>
          <w:sz w:val="28"/>
          <w:szCs w:val="28"/>
        </w:rPr>
        <w:t>В городе Краснодаре представлены такие крупные отечественные и зар</w:t>
      </w:r>
      <w:r w:rsidRPr="000B064E">
        <w:rPr>
          <w:rFonts w:ascii="Times New Roman" w:hAnsi="Times New Roman"/>
          <w:sz w:val="28"/>
          <w:szCs w:val="28"/>
        </w:rPr>
        <w:t>у</w:t>
      </w:r>
      <w:r w:rsidRPr="000B064E">
        <w:rPr>
          <w:rFonts w:ascii="Times New Roman" w:hAnsi="Times New Roman"/>
          <w:sz w:val="28"/>
          <w:szCs w:val="28"/>
        </w:rPr>
        <w:t>бежные торговые сети, как «Магнит», «X5RITAIL», «</w:t>
      </w:r>
      <w:proofErr w:type="spellStart"/>
      <w:r w:rsidRPr="000B064E">
        <w:rPr>
          <w:rFonts w:ascii="Times New Roman" w:hAnsi="Times New Roman"/>
          <w:sz w:val="28"/>
          <w:szCs w:val="28"/>
        </w:rPr>
        <w:t>О’Кей</w:t>
      </w:r>
      <w:proofErr w:type="spellEnd"/>
      <w:r w:rsidRPr="000B064E">
        <w:rPr>
          <w:rFonts w:ascii="Times New Roman" w:hAnsi="Times New Roman"/>
          <w:sz w:val="28"/>
          <w:szCs w:val="28"/>
        </w:rPr>
        <w:t>», «Ашан», «</w:t>
      </w:r>
      <w:proofErr w:type="spellStart"/>
      <w:r w:rsidRPr="000B064E">
        <w:rPr>
          <w:rFonts w:ascii="Times New Roman" w:hAnsi="Times New Roman"/>
          <w:sz w:val="28"/>
          <w:szCs w:val="28"/>
        </w:rPr>
        <w:t>Леруа</w:t>
      </w:r>
      <w:proofErr w:type="spellEnd"/>
      <w:r w:rsidRPr="000B0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64E">
        <w:rPr>
          <w:rFonts w:ascii="Times New Roman" w:hAnsi="Times New Roman"/>
          <w:sz w:val="28"/>
          <w:szCs w:val="28"/>
        </w:rPr>
        <w:t>Мерлен</w:t>
      </w:r>
      <w:proofErr w:type="spellEnd"/>
      <w:r w:rsidRPr="000B064E">
        <w:rPr>
          <w:rFonts w:ascii="Times New Roman" w:hAnsi="Times New Roman"/>
          <w:sz w:val="28"/>
          <w:szCs w:val="28"/>
        </w:rPr>
        <w:t>», «</w:t>
      </w:r>
      <w:proofErr w:type="spellStart"/>
      <w:r w:rsidRPr="000B064E">
        <w:rPr>
          <w:rFonts w:ascii="Times New Roman" w:hAnsi="Times New Roman"/>
          <w:sz w:val="28"/>
          <w:szCs w:val="28"/>
        </w:rPr>
        <w:t>Касторама</w:t>
      </w:r>
      <w:proofErr w:type="spellEnd"/>
      <w:r w:rsidRPr="000B064E">
        <w:rPr>
          <w:rFonts w:ascii="Times New Roman" w:hAnsi="Times New Roman"/>
          <w:sz w:val="28"/>
          <w:szCs w:val="28"/>
        </w:rPr>
        <w:t>», «Лента», «М-видео», «Медиа-</w:t>
      </w:r>
      <w:proofErr w:type="spellStart"/>
      <w:r w:rsidRPr="000B064E">
        <w:rPr>
          <w:rFonts w:ascii="Times New Roman" w:hAnsi="Times New Roman"/>
          <w:sz w:val="28"/>
          <w:szCs w:val="28"/>
        </w:rPr>
        <w:t>Маркт</w:t>
      </w:r>
      <w:proofErr w:type="spellEnd"/>
      <w:r w:rsidRPr="000B064E">
        <w:rPr>
          <w:rFonts w:ascii="Times New Roman" w:hAnsi="Times New Roman"/>
          <w:sz w:val="28"/>
          <w:szCs w:val="28"/>
        </w:rPr>
        <w:t>», «</w:t>
      </w:r>
      <w:proofErr w:type="spellStart"/>
      <w:r w:rsidRPr="000B064E">
        <w:rPr>
          <w:rFonts w:ascii="Times New Roman" w:hAnsi="Times New Roman"/>
          <w:sz w:val="28"/>
          <w:szCs w:val="28"/>
        </w:rPr>
        <w:t>Техносила</w:t>
      </w:r>
      <w:proofErr w:type="spellEnd"/>
      <w:r w:rsidRPr="000B064E">
        <w:rPr>
          <w:rFonts w:ascii="Times New Roman" w:hAnsi="Times New Roman"/>
          <w:sz w:val="28"/>
          <w:szCs w:val="28"/>
        </w:rPr>
        <w:t xml:space="preserve">», </w:t>
      </w:r>
      <w:r w:rsidRPr="000B064E">
        <w:rPr>
          <w:rFonts w:ascii="Times New Roman" w:hAnsi="Times New Roman"/>
          <w:sz w:val="28"/>
          <w:szCs w:val="28"/>
        </w:rPr>
        <w:lastRenderedPageBreak/>
        <w:t>«METRO», «Пятёрочка», «</w:t>
      </w:r>
      <w:proofErr w:type="spellStart"/>
      <w:r w:rsidRPr="000B064E">
        <w:rPr>
          <w:rFonts w:ascii="Times New Roman" w:hAnsi="Times New Roman"/>
          <w:sz w:val="28"/>
          <w:szCs w:val="28"/>
        </w:rPr>
        <w:t>Бауцентр</w:t>
      </w:r>
      <w:proofErr w:type="spellEnd"/>
      <w:r w:rsidRPr="000B064E">
        <w:rPr>
          <w:rFonts w:ascii="Times New Roman" w:hAnsi="Times New Roman"/>
          <w:sz w:val="28"/>
          <w:szCs w:val="28"/>
        </w:rPr>
        <w:t>», «Перекрёсток», «Евросеть», «OBI», «</w:t>
      </w:r>
      <w:proofErr w:type="spellStart"/>
      <w:r w:rsidRPr="000B064E">
        <w:rPr>
          <w:rFonts w:ascii="Times New Roman" w:hAnsi="Times New Roman"/>
          <w:sz w:val="28"/>
          <w:szCs w:val="28"/>
        </w:rPr>
        <w:t>Д</w:t>
      </w:r>
      <w:r w:rsidRPr="000B064E">
        <w:rPr>
          <w:rFonts w:ascii="Times New Roman" w:hAnsi="Times New Roman"/>
          <w:sz w:val="28"/>
          <w:szCs w:val="28"/>
        </w:rPr>
        <w:t>е</w:t>
      </w:r>
      <w:r w:rsidRPr="000B064E">
        <w:rPr>
          <w:rFonts w:ascii="Times New Roman" w:hAnsi="Times New Roman"/>
          <w:sz w:val="28"/>
          <w:szCs w:val="28"/>
        </w:rPr>
        <w:t>катлон</w:t>
      </w:r>
      <w:proofErr w:type="spellEnd"/>
      <w:r w:rsidRPr="000B064E">
        <w:rPr>
          <w:rFonts w:ascii="Times New Roman" w:hAnsi="Times New Roman"/>
          <w:sz w:val="28"/>
          <w:szCs w:val="28"/>
        </w:rPr>
        <w:t>», «Эльдорадо», «Поиск», «</w:t>
      </w:r>
      <w:proofErr w:type="spellStart"/>
      <w:r w:rsidRPr="000B064E">
        <w:rPr>
          <w:rFonts w:ascii="Times New Roman" w:hAnsi="Times New Roman"/>
          <w:sz w:val="28"/>
          <w:szCs w:val="28"/>
        </w:rPr>
        <w:t>Техносклад</w:t>
      </w:r>
      <w:proofErr w:type="spellEnd"/>
      <w:r w:rsidRPr="000B064E">
        <w:rPr>
          <w:rFonts w:ascii="Times New Roman" w:hAnsi="Times New Roman"/>
          <w:sz w:val="28"/>
          <w:szCs w:val="28"/>
        </w:rPr>
        <w:t>», «Спортмастер», «</w:t>
      </w:r>
      <w:proofErr w:type="spellStart"/>
      <w:r w:rsidRPr="000B064E">
        <w:rPr>
          <w:rFonts w:ascii="Times New Roman" w:hAnsi="Times New Roman"/>
          <w:sz w:val="28"/>
          <w:szCs w:val="28"/>
        </w:rPr>
        <w:t>Hoff</w:t>
      </w:r>
      <w:proofErr w:type="spellEnd"/>
      <w:r w:rsidRPr="000B064E">
        <w:rPr>
          <w:rFonts w:ascii="Times New Roman" w:hAnsi="Times New Roman"/>
          <w:sz w:val="28"/>
          <w:szCs w:val="28"/>
        </w:rPr>
        <w:t>» и др.</w:t>
      </w:r>
    </w:p>
    <w:p w:rsidR="000B064E" w:rsidRPr="005B7951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00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ерспективы развития 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розничной торговли просматриваются в насыщ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потребительского рынка продукцией кубанских сельхозпроизводителей ч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 расширение сети рыночной торговли.</w:t>
      </w:r>
    </w:p>
    <w:p w:rsidR="000B064E" w:rsidRDefault="00FA113E" w:rsidP="00AC065C">
      <w:pPr>
        <w:spacing w:after="0" w:line="276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сельскохозяйственной продукции и продуктов ее перер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ботки в Краснодаре действуют 4 розничных рынка на 1125 торговых мест и 86 ярмарок на 11657 торговых мест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обеспечения населения города социал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продовольственными товарами по ценам производителей (без посредн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ков) еженедельно по субботам организована работа ярмарок «выходного дня» (11 единиц). В ярмарках принимают участие более 30 районов Краснодарского края, в том числе и предприятия агропромышленного комплекса города Кра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A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нодара.</w:t>
      </w:r>
      <w:r w:rsidR="005B7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объектах ярмарочной и рыночной сети города создано 6720 торговых мест для реализации сельхозпродукции.</w:t>
      </w:r>
    </w:p>
    <w:p w:rsidR="000B064E" w:rsidRPr="000B064E" w:rsidRDefault="000B064E" w:rsidP="00AC065C">
      <w:pPr>
        <w:spacing w:after="0" w:line="276" w:lineRule="auto"/>
        <w:ind w:firstLine="6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:rsidR="00E51721" w:rsidRPr="00CB79D8" w:rsidRDefault="00E51721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розничной торговли</w:t>
      </w:r>
    </w:p>
    <w:p w:rsidR="00E51721" w:rsidRPr="00E51721" w:rsidRDefault="00E51721" w:rsidP="00AC065C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</w:pPr>
    </w:p>
    <w:p w:rsidR="007C573A" w:rsidRPr="00CB79D8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можно отметить, что степень удовлетворенности населения предложением в сфере розничной торговли высокая. Более 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3544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) опрошенных отметили, что компаний, функционирующих в сфере розничной торговли, достаточно. На избыточность предложения на рынке розничной то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говли указало 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3127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участников анкетирования. На недостаточное количество организаций, представленных на рынке розничной торговли, указ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ли лишь 7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CB79D8" w:rsidRPr="00CB7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), 1% считает, что предприятий розничной торговли в Краснодаре нет совсем.</w:t>
      </w:r>
    </w:p>
    <w:p w:rsidR="007C573A" w:rsidRPr="00CB79D8" w:rsidRDefault="007C573A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73A" w:rsidRPr="00CB79D8" w:rsidRDefault="007C573A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8A14E1" wp14:editId="3A4FE247">
            <wp:extent cx="4029075" cy="2400300"/>
            <wp:effectExtent l="0" t="0" r="9525" b="1905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51721" w:rsidRPr="00CB79D8" w:rsidRDefault="00E51721" w:rsidP="00AC06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1721" w:rsidRPr="00CB79D8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результатов анкетирования по вопросу удовлетворенности усл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гами на рынке розничной торговли, позволил сд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елать следующие выводы. Н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аселение муниципального образования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удовлетворено качеством услуг в сфере розничной торговли: вариант ответа «удовлетворен» выбрали 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5485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опрошенных,  «скорее удовлетворен» </w:t>
      </w:r>
      <w:r w:rsidR="007A3E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еще 15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1090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ловек). Варианты ответов «скорее не удовлетворен» и «не удовлетворен» отн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сительно качества товаров и услуг на рынке розничной торговли указали 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385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и 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CB79D8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 w:rsidRPr="00CB79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 опрошенных. </w:t>
      </w:r>
    </w:p>
    <w:p w:rsidR="007C573A" w:rsidRPr="00CB79D8" w:rsidRDefault="007C573A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73A" w:rsidRPr="00CB79D8" w:rsidRDefault="007C573A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A89A8E" wp14:editId="503E0E7B">
            <wp:extent cx="4171950" cy="220980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C573A" w:rsidRPr="00CB79D8" w:rsidRDefault="007C573A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9DC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7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розничной торговли продовольственными и непродовол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ственными товарами на территории муниципального образования город Кра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нодар относится к рынку с </w:t>
      </w:r>
      <w:r w:rsidR="009D21CB"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хорошо 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развитой конкурентной средой. </w:t>
      </w:r>
    </w:p>
    <w:p w:rsidR="005949DC" w:rsidRDefault="005949DC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общего количества хозяйствующих субъектов, принявших участие в анкетировании, 30%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 потребительского рынка. Из 200 опроше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представителей торговых предприятий более 90% считают, что конкуре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на их целевом рынке есть и она: «очень высокая»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30,8%, «высокая»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29,4%, «умеренная»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31,8%. И только 8% из них считают, что конкуренция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 «слабая», либо ее нет. </w:t>
      </w:r>
    </w:p>
    <w:p w:rsidR="005949DC" w:rsidRDefault="005949DC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9DC" w:rsidRDefault="005949DC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BE56CD" wp14:editId="5C14F9AC">
            <wp:extent cx="4552950" cy="2400300"/>
            <wp:effectExtent l="0" t="0" r="19050" b="1905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949DC" w:rsidRDefault="005949DC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B1A" w:rsidRDefault="005C1B1A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Мнения участников опроса по отношению к действиям органов власти на их целевом рынке разделились: 20% предпринимателей указали, что органы власти помогают бизнесу своими действиями; более 32% считают, что органы власти бездействуют, но почти ¾ из них уверены, что участие органов власти в сфере торговли необходимо; более 13% придерживаются мнения, что органы власти только мешают бизнесу своими действиями;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свыше 34%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 чем-то органы власти помогают, в чем-то мешают.</w:t>
      </w:r>
    </w:p>
    <w:p w:rsidR="00E51721" w:rsidRPr="00EE797B" w:rsidRDefault="00E51721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торговой инфраструктуры, оптимизации товарных потоков на территории города Краснодара способствует строительство современных лог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стических комплексов, внедрение логистических технологий, позволяющих и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E7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ключить посредников при товародвижении, обеспечить конкурентоспособную цену, более высокое качество и широкий спектр услуг по закупке, хранению и доставке товаров.</w:t>
      </w:r>
    </w:p>
    <w:p w:rsidR="00E51721" w:rsidRPr="00EE797B" w:rsidRDefault="00E51721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EE797B" w:rsidRDefault="00E51721" w:rsidP="00AC065C">
      <w:pPr>
        <w:shd w:val="clear" w:color="auto" w:fill="FFFFFF"/>
        <w:tabs>
          <w:tab w:val="left" w:pos="709"/>
        </w:tabs>
        <w:spacing w:after="0" w:line="276" w:lineRule="auto"/>
        <w:ind w:firstLine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7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перевозок пассажиров наземным транспортом.</w:t>
      </w:r>
    </w:p>
    <w:p w:rsidR="00E51721" w:rsidRPr="00EE797B" w:rsidRDefault="00E51721" w:rsidP="00AC065C">
      <w:pPr>
        <w:shd w:val="clear" w:color="auto" w:fill="FFFFFF"/>
        <w:tabs>
          <w:tab w:val="left" w:pos="993"/>
        </w:tabs>
        <w:spacing w:after="0" w:line="276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023A" w:rsidRPr="00E6023A" w:rsidRDefault="00E6023A" w:rsidP="006962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23A">
        <w:rPr>
          <w:rFonts w:ascii="Times New Roman" w:hAnsi="Times New Roman"/>
          <w:sz w:val="28"/>
          <w:szCs w:val="28"/>
        </w:rPr>
        <w:t>Общественный транспорт является визитной карточкой города. Отлич</w:t>
      </w:r>
      <w:r w:rsidRPr="00E6023A">
        <w:rPr>
          <w:rFonts w:ascii="Times New Roman" w:hAnsi="Times New Roman"/>
          <w:sz w:val="28"/>
          <w:szCs w:val="28"/>
        </w:rPr>
        <w:t>и</w:t>
      </w:r>
      <w:r w:rsidRPr="00E6023A">
        <w:rPr>
          <w:rFonts w:ascii="Times New Roman" w:hAnsi="Times New Roman"/>
          <w:sz w:val="28"/>
          <w:szCs w:val="28"/>
        </w:rPr>
        <w:t>тельной чертой города Краснодара от других муниципальных образований Краснодарского края является наличие электротранспорта. Маршрутная сеть краевого центра - это:</w:t>
      </w:r>
    </w:p>
    <w:p w:rsidR="00E6023A" w:rsidRPr="00E6023A" w:rsidRDefault="00E6023A" w:rsidP="0069623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69623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автобусных маршрутов</w:t>
      </w:r>
      <w:r w:rsidR="006962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протяженностью </w:t>
      </w:r>
      <w:r w:rsidR="00696239" w:rsidRPr="00696239">
        <w:rPr>
          <w:rFonts w:ascii="Times New Roman" w:hAnsi="Times New Roman"/>
          <w:bCs/>
          <w:sz w:val="28"/>
          <w:szCs w:val="28"/>
        </w:rPr>
        <w:t>4928,2 км</w:t>
      </w:r>
      <w:proofErr w:type="gramStart"/>
      <w:r w:rsidR="00696239">
        <w:rPr>
          <w:rFonts w:ascii="Times New Roman" w:hAnsi="Times New Roman"/>
          <w:bCs/>
          <w:sz w:val="28"/>
          <w:szCs w:val="28"/>
        </w:rPr>
        <w:t>.</w:t>
      </w: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6023A" w:rsidRPr="00E6023A" w:rsidRDefault="00E6023A" w:rsidP="0069623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>- 14 тр</w:t>
      </w:r>
      <w:r w:rsidR="00696239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оллейбусных маршрутов протяженностью </w:t>
      </w:r>
      <w:r w:rsidR="00696239" w:rsidRPr="00696239">
        <w:rPr>
          <w:rFonts w:ascii="Times New Roman" w:hAnsi="Times New Roman"/>
          <w:bCs/>
          <w:sz w:val="28"/>
          <w:szCs w:val="28"/>
        </w:rPr>
        <w:t>332,1 км</w:t>
      </w:r>
      <w:proofErr w:type="gramStart"/>
      <w:r w:rsidR="00696239">
        <w:rPr>
          <w:rFonts w:ascii="Times New Roman" w:hAnsi="Times New Roman"/>
          <w:bCs/>
          <w:sz w:val="28"/>
          <w:szCs w:val="28"/>
        </w:rPr>
        <w:t>.</w:t>
      </w:r>
      <w:r w:rsidR="00696239" w:rsidRPr="00696239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6023A" w:rsidRPr="00E6023A" w:rsidRDefault="00E6023A" w:rsidP="00696239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>- 15 трамвайных маршрутов</w:t>
      </w:r>
      <w:r w:rsidR="006962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протяженностью </w:t>
      </w:r>
      <w:r w:rsidR="00696239" w:rsidRPr="00696239">
        <w:rPr>
          <w:rFonts w:ascii="Times New Roman" w:hAnsi="Times New Roman"/>
          <w:bCs/>
          <w:sz w:val="28"/>
          <w:szCs w:val="28"/>
        </w:rPr>
        <w:t>362,9 км</w:t>
      </w:r>
      <w:r w:rsidRPr="00E602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6239" w:rsidRDefault="00696239" w:rsidP="0069623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6239">
        <w:rPr>
          <w:rFonts w:ascii="Times New Roman" w:hAnsi="Times New Roman"/>
          <w:bCs/>
          <w:sz w:val="28"/>
          <w:szCs w:val="28"/>
        </w:rPr>
        <w:t xml:space="preserve">Перевозку пассажиров </w:t>
      </w:r>
      <w:r w:rsidRPr="00696239">
        <w:rPr>
          <w:rFonts w:ascii="Times New Roman" w:hAnsi="Times New Roman"/>
          <w:sz w:val="28"/>
          <w:szCs w:val="28"/>
        </w:rPr>
        <w:t xml:space="preserve">по муниципальным маршрутам в муниципальном образовании город Краснодар </w:t>
      </w:r>
      <w:r w:rsidRPr="00696239">
        <w:rPr>
          <w:rFonts w:ascii="Times New Roman" w:hAnsi="Times New Roman"/>
          <w:bCs/>
          <w:sz w:val="28"/>
          <w:szCs w:val="28"/>
        </w:rPr>
        <w:t>осуществляют 23, в том числе одно муниципал</w:t>
      </w:r>
      <w:r w:rsidRPr="00696239">
        <w:rPr>
          <w:rFonts w:ascii="Times New Roman" w:hAnsi="Times New Roman"/>
          <w:bCs/>
          <w:sz w:val="28"/>
          <w:szCs w:val="28"/>
        </w:rPr>
        <w:t>ь</w:t>
      </w:r>
      <w:r w:rsidRPr="00696239">
        <w:rPr>
          <w:rFonts w:ascii="Times New Roman" w:hAnsi="Times New Roman"/>
          <w:bCs/>
          <w:sz w:val="28"/>
          <w:szCs w:val="28"/>
        </w:rPr>
        <w:t>ной формы собственности и 2 индивидуальных предпринимателя без образов</w:t>
      </w:r>
      <w:r w:rsidRPr="00696239">
        <w:rPr>
          <w:rFonts w:ascii="Times New Roman" w:hAnsi="Times New Roman"/>
          <w:bCs/>
          <w:sz w:val="28"/>
          <w:szCs w:val="28"/>
        </w:rPr>
        <w:t>а</w:t>
      </w:r>
      <w:r w:rsidRPr="00696239">
        <w:rPr>
          <w:rFonts w:ascii="Times New Roman" w:hAnsi="Times New Roman"/>
          <w:bCs/>
          <w:sz w:val="28"/>
          <w:szCs w:val="28"/>
        </w:rPr>
        <w:t>ния юридического лица.</w:t>
      </w:r>
    </w:p>
    <w:p w:rsidR="00696239" w:rsidRDefault="00696239" w:rsidP="0069623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239" w:rsidRDefault="00696239" w:rsidP="0069623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96239">
        <w:rPr>
          <w:rFonts w:ascii="Times New Roman" w:hAnsi="Times New Roman"/>
          <w:b/>
          <w:i/>
          <w:sz w:val="28"/>
          <w:szCs w:val="28"/>
        </w:rPr>
        <w:t xml:space="preserve">Развитие пассажирского транспорта </w:t>
      </w:r>
    </w:p>
    <w:p w:rsidR="00696239" w:rsidRPr="00696239" w:rsidRDefault="00696239" w:rsidP="0069623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96239">
        <w:rPr>
          <w:rFonts w:ascii="Times New Roman" w:hAnsi="Times New Roman"/>
          <w:b/>
          <w:i/>
          <w:sz w:val="28"/>
          <w:szCs w:val="28"/>
        </w:rPr>
        <w:t>муниципального образования город Краснодар в 2014 – 2016 годах</w:t>
      </w:r>
    </w:p>
    <w:p w:rsidR="00696239" w:rsidRPr="00696239" w:rsidRDefault="00696239" w:rsidP="00696239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6239" w:rsidRPr="00696239" w:rsidRDefault="00696239" w:rsidP="00696239">
      <w:pPr>
        <w:shd w:val="clear" w:color="auto" w:fill="FFFFFF"/>
        <w:tabs>
          <w:tab w:val="left" w:pos="993"/>
        </w:tabs>
        <w:spacing w:after="0" w:line="263" w:lineRule="atLeast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19"/>
        <w:gridCol w:w="882"/>
        <w:gridCol w:w="1627"/>
        <w:gridCol w:w="1035"/>
      </w:tblGrid>
      <w:tr w:rsidR="00696239" w:rsidRPr="00696239" w:rsidTr="00696239">
        <w:trPr>
          <w:tblHeader/>
        </w:trPr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62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 xml:space="preserve">Обслуживание маршрутной сети на территории муниципального образования город Краснодар осуществлялась (всего, в </w:t>
            </w:r>
            <w:proofErr w:type="spellStart"/>
            <w:r w:rsidRPr="0069623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6239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коммерческие предприятия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Доля немуниципальных перевозчиков на муниц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пальных маршрутах регулярного сообщения мун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Краснодар, %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Доля муниципальных маршрутов регулярного с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общения муниципального образования город Краснодар, на которых осуществляются перевозки пассажиров немуниципальными перевозчиками, %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(оптимизация маршрутной сети)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96239" w:rsidRPr="00696239" w:rsidTr="00696239">
        <w:tc>
          <w:tcPr>
            <w:tcW w:w="576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sz w:val="24"/>
                <w:szCs w:val="24"/>
              </w:rPr>
              <w:t>Доля рейсов по муниципальным маршрутам рег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у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лярного сообщения муниципального образования город Краснодар, осуществляемых немуниципал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ь</w:t>
            </w:r>
            <w:r w:rsidRPr="00696239">
              <w:rPr>
                <w:rFonts w:ascii="Times New Roman" w:hAnsi="Times New Roman"/>
                <w:sz w:val="24"/>
                <w:szCs w:val="24"/>
              </w:rPr>
              <w:t>ными перевозчиками, в общем объёме составляет, %</w:t>
            </w:r>
          </w:p>
        </w:tc>
        <w:tc>
          <w:tcPr>
            <w:tcW w:w="882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27" w:type="dxa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035" w:type="dxa"/>
            <w:shd w:val="clear" w:color="auto" w:fill="auto"/>
          </w:tcPr>
          <w:p w:rsidR="00696239" w:rsidRPr="00696239" w:rsidRDefault="00696239" w:rsidP="0069623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23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</w:tbl>
    <w:p w:rsidR="00696239" w:rsidRPr="00696239" w:rsidRDefault="00696239" w:rsidP="00696239">
      <w:pPr>
        <w:shd w:val="clear" w:color="auto" w:fill="FFFFFF"/>
        <w:tabs>
          <w:tab w:val="left" w:pos="993"/>
        </w:tabs>
        <w:spacing w:after="0" w:line="263" w:lineRule="atLeast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239" w:rsidRPr="00696239" w:rsidRDefault="00696239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Внутригородской электротранспорт муниципального образования город Краснодар является основным перевозчиком для населения города Краснодара, монополистом по предоставлению данного вида услуг является МУП «Красн</w:t>
      </w:r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дарское трамвайно-троллейбусное управление». Также основными крупными предприятиями, обслуживающими муниципальные маршруты, являются: ООО «Кубань», ООО «</w:t>
      </w:r>
      <w:proofErr w:type="spellStart"/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Краснодаравтотранс</w:t>
      </w:r>
      <w:proofErr w:type="spellEnd"/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«СВП», ООО «</w:t>
      </w:r>
      <w:proofErr w:type="spellStart"/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Русавтопром-Кубаньтранс</w:t>
      </w:r>
      <w:proofErr w:type="spellEnd"/>
      <w:r w:rsidRPr="00696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«Транзит-Авто».</w:t>
      </w:r>
    </w:p>
    <w:p w:rsidR="00696239" w:rsidRDefault="00696239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538" w:rsidRDefault="00AE0538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538" w:rsidRPr="00696239" w:rsidRDefault="00AE0538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239" w:rsidRPr="00696239" w:rsidRDefault="00696239" w:rsidP="00696239">
      <w:pPr>
        <w:shd w:val="clear" w:color="auto" w:fill="FFFFFF"/>
        <w:tabs>
          <w:tab w:val="left" w:pos="0"/>
        </w:tabs>
        <w:spacing w:after="0" w:line="263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9623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Обновление пассажирского транспорта в 2014 – 2016 годах</w:t>
      </w:r>
    </w:p>
    <w:p w:rsidR="00696239" w:rsidRDefault="00696239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239" w:rsidRPr="00696239" w:rsidRDefault="00696239" w:rsidP="00696239">
      <w:pPr>
        <w:shd w:val="clear" w:color="auto" w:fill="FFFFFF"/>
        <w:tabs>
          <w:tab w:val="left" w:pos="0"/>
        </w:tabs>
        <w:spacing w:after="0" w:line="26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66"/>
        <w:gridCol w:w="1134"/>
        <w:gridCol w:w="1134"/>
        <w:gridCol w:w="1134"/>
      </w:tblGrid>
      <w:tr w:rsidR="00696239" w:rsidRPr="00696239" w:rsidTr="000E7059">
        <w:tc>
          <w:tcPr>
            <w:tcW w:w="671" w:type="dxa"/>
            <w:shd w:val="clear" w:color="auto" w:fill="auto"/>
            <w:vAlign w:val="center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696239" w:rsidRPr="00696239" w:rsidTr="000E7059">
        <w:tc>
          <w:tcPr>
            <w:tcW w:w="671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Приобретено транспорта </w:t>
            </w:r>
            <w:r w:rsidRPr="0069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(всего, в </w:t>
            </w:r>
            <w:proofErr w:type="spellStart"/>
            <w:r w:rsidRPr="0069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.), единиц: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6239" w:rsidRPr="00696239" w:rsidTr="000E7059">
        <w:tc>
          <w:tcPr>
            <w:tcW w:w="671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66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трамвайные вагоны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6239" w:rsidRPr="00696239" w:rsidTr="000E7059">
        <w:tc>
          <w:tcPr>
            <w:tcW w:w="671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6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6239" w:rsidRPr="00696239" w:rsidTr="000E7059">
        <w:tc>
          <w:tcPr>
            <w:tcW w:w="671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6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6239" w:rsidRPr="00696239" w:rsidTr="000E7059">
        <w:tc>
          <w:tcPr>
            <w:tcW w:w="671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66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 капитальный ремонт трамвайных ваг</w:t>
            </w: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нов, единиц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239" w:rsidRPr="00696239" w:rsidRDefault="00696239" w:rsidP="0069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6023A" w:rsidRDefault="00E6023A" w:rsidP="00AC065C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1068" w:rsidRPr="00421068" w:rsidRDefault="00421068" w:rsidP="00421068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20 процентов пассажирских перевозок в городе обеспечивает авт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мобильный транспорт: автобусы, маршрутные таксомоторы, такси.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автотранспортом общего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пользования перевезено 66,4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миллиона человек,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70,2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миллиона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1068" w:rsidRDefault="00421068" w:rsidP="00421068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пассажирского транспорта подвержена влиянию соотношения уровня инфляции, вызывающей рост тарифов на перевозку пассажиров, и уро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жизни основной массы населения, пользующегося услугами транспорта о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2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пользования.</w:t>
      </w:r>
    </w:p>
    <w:p w:rsidR="00421068" w:rsidRPr="00EE797B" w:rsidRDefault="00421068" w:rsidP="00421068">
      <w:pPr>
        <w:shd w:val="clear" w:color="auto" w:fill="FFFFFF"/>
        <w:tabs>
          <w:tab w:val="left" w:pos="0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EE797B" w:rsidRDefault="00E51721" w:rsidP="00AC065C">
      <w:pPr>
        <w:tabs>
          <w:tab w:val="left" w:pos="993"/>
        </w:tabs>
        <w:spacing w:after="0" w:line="276" w:lineRule="auto"/>
        <w:ind w:left="1429" w:hanging="142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79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перевозок пассажиров наземным транспортом</w:t>
      </w:r>
    </w:p>
    <w:p w:rsidR="00E51721" w:rsidRPr="00EE797B" w:rsidRDefault="00E51721" w:rsidP="00AC065C">
      <w:pPr>
        <w:tabs>
          <w:tab w:val="left" w:pos="993"/>
        </w:tabs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51721" w:rsidRPr="00EE797B" w:rsidRDefault="00EE797B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Половина опрошенного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краевого центра – 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3657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отмечает, что объём предложения на рынке пассажирских перевозок достат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чен. Одновременно 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2255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считают избыточным количество орг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низаций транспорта на рынке пассажирских перевозок, 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1212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опрошенных – что таких организаций представлено мало, а 1% (</w:t>
      </w:r>
      <w:r w:rsidRPr="00EE797B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E51721" w:rsidRPr="00EE797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считают, что их нет совсем. </w:t>
      </w:r>
    </w:p>
    <w:p w:rsidR="00503A35" w:rsidRPr="00EE797B" w:rsidRDefault="00503A35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A35" w:rsidRPr="00EE797B" w:rsidRDefault="00503A35" w:rsidP="00AC065C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E79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BB176C" wp14:editId="437E5F34">
            <wp:extent cx="4152900" cy="226695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03A35" w:rsidRPr="00EE797B" w:rsidRDefault="00503A35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721" w:rsidRPr="00EE797B" w:rsidRDefault="00EE797B" w:rsidP="00AC065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97B">
        <w:rPr>
          <w:rFonts w:ascii="Times New Roman" w:hAnsi="Times New Roman"/>
          <w:sz w:val="28"/>
          <w:szCs w:val="28"/>
        </w:rPr>
        <w:t xml:space="preserve">Около 16% </w:t>
      </w:r>
      <w:r w:rsidR="00E51721" w:rsidRPr="00EE797B">
        <w:rPr>
          <w:rFonts w:ascii="Times New Roman" w:hAnsi="Times New Roman"/>
          <w:sz w:val="28"/>
          <w:szCs w:val="28"/>
        </w:rPr>
        <w:t>горожан (</w:t>
      </w:r>
      <w:r w:rsidRPr="00EE797B">
        <w:rPr>
          <w:rFonts w:ascii="Times New Roman" w:hAnsi="Times New Roman"/>
          <w:sz w:val="28"/>
          <w:szCs w:val="28"/>
        </w:rPr>
        <w:t>1181</w:t>
      </w:r>
      <w:r w:rsidR="00E51721" w:rsidRPr="00EE797B">
        <w:rPr>
          <w:rFonts w:ascii="Times New Roman" w:hAnsi="Times New Roman"/>
          <w:sz w:val="28"/>
          <w:szCs w:val="28"/>
        </w:rPr>
        <w:t xml:space="preserve"> человек), прошедших анкетирование, выражает неудовлетворенность качеством услуг, предоставляемых на рынке пассажи</w:t>
      </w:r>
      <w:r w:rsidR="00E51721" w:rsidRPr="00EE797B">
        <w:rPr>
          <w:rFonts w:ascii="Times New Roman" w:hAnsi="Times New Roman"/>
          <w:sz w:val="28"/>
          <w:szCs w:val="28"/>
        </w:rPr>
        <w:t>р</w:t>
      </w:r>
      <w:r w:rsidR="00E51721" w:rsidRPr="00EE797B">
        <w:rPr>
          <w:rFonts w:ascii="Times New Roman" w:hAnsi="Times New Roman"/>
          <w:sz w:val="28"/>
          <w:szCs w:val="28"/>
        </w:rPr>
        <w:t xml:space="preserve">ских перевозок, в то время как </w:t>
      </w:r>
      <w:r w:rsidRPr="00EE797B">
        <w:rPr>
          <w:rFonts w:ascii="Times New Roman" w:hAnsi="Times New Roman"/>
          <w:sz w:val="28"/>
          <w:szCs w:val="28"/>
        </w:rPr>
        <w:t>большинство</w:t>
      </w:r>
      <w:r w:rsidR="00E51721" w:rsidRPr="00EE797B">
        <w:rPr>
          <w:rFonts w:ascii="Times New Roman" w:hAnsi="Times New Roman"/>
          <w:sz w:val="28"/>
          <w:szCs w:val="28"/>
        </w:rPr>
        <w:t xml:space="preserve"> опрошенных – </w:t>
      </w:r>
      <w:r w:rsidRPr="00EE797B">
        <w:rPr>
          <w:rFonts w:ascii="Times New Roman" w:hAnsi="Times New Roman"/>
          <w:sz w:val="28"/>
          <w:szCs w:val="28"/>
        </w:rPr>
        <w:t>69</w:t>
      </w:r>
      <w:r w:rsidR="00E51721" w:rsidRPr="00EE797B">
        <w:rPr>
          <w:rFonts w:ascii="Times New Roman" w:hAnsi="Times New Roman"/>
          <w:sz w:val="28"/>
          <w:szCs w:val="28"/>
        </w:rPr>
        <w:t>% (</w:t>
      </w:r>
      <w:r w:rsidRPr="00EE797B">
        <w:rPr>
          <w:rFonts w:ascii="Times New Roman" w:hAnsi="Times New Roman"/>
          <w:sz w:val="28"/>
          <w:szCs w:val="28"/>
        </w:rPr>
        <w:t>4960</w:t>
      </w:r>
      <w:r w:rsidR="00E51721" w:rsidRPr="00EE797B">
        <w:rPr>
          <w:rFonts w:ascii="Times New Roman" w:hAnsi="Times New Roman"/>
          <w:sz w:val="28"/>
          <w:szCs w:val="28"/>
        </w:rPr>
        <w:t xml:space="preserve"> человек) – достаточно высоко оценивают услуги, предоставляемые на данном рынке и </w:t>
      </w:r>
      <w:r w:rsidRPr="00EE797B">
        <w:rPr>
          <w:rFonts w:ascii="Times New Roman" w:hAnsi="Times New Roman"/>
          <w:sz w:val="28"/>
          <w:szCs w:val="28"/>
        </w:rPr>
        <w:t>15</w:t>
      </w:r>
      <w:r w:rsidR="00E51721" w:rsidRPr="00EE797B">
        <w:rPr>
          <w:rFonts w:ascii="Times New Roman" w:hAnsi="Times New Roman"/>
          <w:sz w:val="28"/>
          <w:szCs w:val="28"/>
        </w:rPr>
        <w:t>% (</w:t>
      </w:r>
      <w:r w:rsidRPr="00EE797B">
        <w:rPr>
          <w:rFonts w:ascii="Times New Roman" w:hAnsi="Times New Roman"/>
          <w:sz w:val="28"/>
          <w:szCs w:val="28"/>
        </w:rPr>
        <w:t>1064</w:t>
      </w:r>
      <w:r w:rsidR="00E51721" w:rsidRPr="00EE797B">
        <w:rPr>
          <w:rFonts w:ascii="Times New Roman" w:hAnsi="Times New Roman"/>
          <w:sz w:val="28"/>
          <w:szCs w:val="28"/>
        </w:rPr>
        <w:t xml:space="preserve"> человек</w:t>
      </w:r>
      <w:r w:rsidRPr="00EE797B">
        <w:rPr>
          <w:rFonts w:ascii="Times New Roman" w:hAnsi="Times New Roman"/>
          <w:sz w:val="28"/>
          <w:szCs w:val="28"/>
        </w:rPr>
        <w:t>а</w:t>
      </w:r>
      <w:r w:rsidR="00E51721" w:rsidRPr="00EE797B">
        <w:rPr>
          <w:rFonts w:ascii="Times New Roman" w:hAnsi="Times New Roman"/>
          <w:sz w:val="28"/>
          <w:szCs w:val="28"/>
        </w:rPr>
        <w:t xml:space="preserve">) </w:t>
      </w:r>
      <w:r w:rsidRPr="00EE797B">
        <w:rPr>
          <w:rFonts w:ascii="Times New Roman" w:hAnsi="Times New Roman"/>
          <w:sz w:val="28"/>
          <w:szCs w:val="28"/>
        </w:rPr>
        <w:t>скорее</w:t>
      </w:r>
      <w:r w:rsidR="00E51721" w:rsidRPr="00EE797B">
        <w:rPr>
          <w:rFonts w:ascii="Times New Roman" w:hAnsi="Times New Roman"/>
          <w:sz w:val="28"/>
          <w:szCs w:val="28"/>
        </w:rPr>
        <w:t xml:space="preserve"> устраивает их качество. </w:t>
      </w:r>
    </w:p>
    <w:p w:rsidR="00503A35" w:rsidRPr="00EE797B" w:rsidRDefault="00503A3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A35" w:rsidRPr="00EE797B" w:rsidRDefault="00503A35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97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1726FB" wp14:editId="2D3F43E6">
            <wp:extent cx="4476750" cy="2228850"/>
            <wp:effectExtent l="0" t="0" r="1905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03A35" w:rsidRDefault="00503A3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5F5504" w:rsidRDefault="005F5504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45% предприятий оценивают конкуренцию на рынке пассажи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перевозок как «умеренную», около 30% считают, что конкуренция в этой сфере «высокая», по 10,6% оценили конкуренцию как «очень высокую» и «сл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бую». И лишь более 4%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сочли, что конкуренции на рынке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жироперевозок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 вообще.</w:t>
      </w:r>
    </w:p>
    <w:p w:rsidR="00AE0538" w:rsidRDefault="00AE0538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504" w:rsidRDefault="005F5504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1CAACA" wp14:editId="39D0F83A">
            <wp:extent cx="4486275" cy="2314575"/>
            <wp:effectExtent l="0" t="0" r="9525" b="9525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F5504" w:rsidRDefault="005F5504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84" w:rsidRDefault="009D068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Подавляющее большинство предпринимателей (64%) выразили мнение, что на рынке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пассажироперевозок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органы власти в чем-то помогают, а в чем-то мешают бизнесу, еще около 24% высоко оценили деятельность властей в части помощи хозяйствующим субъектам этой сферы деятельности.</w:t>
      </w:r>
    </w:p>
    <w:p w:rsidR="00E51721" w:rsidRPr="00503A35" w:rsidRDefault="00E5172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конкуренции в отрасли на постоянной основе проводи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ся работа по оптимизации маршрутной сети транспорта города и повышению качества пассажирских перевозок, мероприятия по изучению потребности населения в пассажирских перевозках, по продлению автобусных маршрутов, изменению схем движения. Кроме того, открывались новые автобусные мар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руты, вносились корректировки в расписание движения, увеличивалось колич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ство автобусов на маршрутах, проводилась работа по привлечению новых п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ревозчиков. Пассажирские перевозки автомобильным транспортом организац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ями и предпринимателями по маршрутам регулярного сообщения осуществл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ются на основании договоров на право осуществления регулярных пассажи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ских перевозок, заключаемых администрацией муниципального образования город Краснодар с перевозчиками по итогам конкурса, являющегося инстр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3A35">
        <w:rPr>
          <w:rFonts w:ascii="Times New Roman" w:eastAsia="Times New Roman" w:hAnsi="Times New Roman"/>
          <w:sz w:val="28"/>
          <w:szCs w:val="28"/>
          <w:lang w:eastAsia="ru-RU"/>
        </w:rPr>
        <w:t>ментом развития конкуренции в сфере перевозки пассажиров автомобильным транспортом.</w:t>
      </w:r>
    </w:p>
    <w:p w:rsidR="00E51721" w:rsidRPr="0090633C" w:rsidRDefault="00E51721" w:rsidP="00AC065C">
      <w:pPr>
        <w:shd w:val="clear" w:color="auto" w:fill="FFFFFF"/>
        <w:tabs>
          <w:tab w:val="left" w:pos="993"/>
        </w:tabs>
        <w:spacing w:after="0" w:line="276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1721" w:rsidRPr="0090633C" w:rsidRDefault="00E51721" w:rsidP="00AC065C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6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Рынок услуг связи.</w:t>
      </w:r>
    </w:p>
    <w:p w:rsidR="00E51721" w:rsidRPr="0090633C" w:rsidRDefault="00E51721" w:rsidP="00AC065C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721" w:rsidRPr="0090633C" w:rsidRDefault="00E51721" w:rsidP="00AC065C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Телекоммуникации остаются одним из наиболее динамично развива</w:t>
      </w:r>
      <w:r w:rsidRPr="00906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06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секторов экономики муниципального образования город Краснодар как по росту доходов, инвестиций, физического объёма услуг, так и по темпам пр</w:t>
      </w:r>
      <w:r w:rsidRPr="00906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06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водимых в отрасли преобразований.</w:t>
      </w:r>
    </w:p>
    <w:p w:rsidR="00E51721" w:rsidRPr="00E51721" w:rsidRDefault="00E51721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  <w:highlight w:val="green"/>
        </w:rPr>
      </w:pPr>
    </w:p>
    <w:p w:rsidR="00E51721" w:rsidRPr="0010104B" w:rsidRDefault="00E51721" w:rsidP="00AC065C">
      <w:pPr>
        <w:pStyle w:val="ConsPlusNormal"/>
        <w:spacing w:line="276" w:lineRule="auto"/>
        <w:ind w:firstLine="709"/>
        <w:contextualSpacing/>
        <w:jc w:val="right"/>
        <w:rPr>
          <w:szCs w:val="28"/>
        </w:rPr>
      </w:pPr>
      <w:r w:rsidRPr="0010104B">
        <w:rPr>
          <w:szCs w:val="28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802"/>
        <w:gridCol w:w="1802"/>
        <w:gridCol w:w="1802"/>
      </w:tblGrid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 xml:space="preserve">№ </w:t>
            </w:r>
            <w:proofErr w:type="gramStart"/>
            <w:r w:rsidRPr="0090633C">
              <w:rPr>
                <w:sz w:val="24"/>
                <w:szCs w:val="28"/>
              </w:rPr>
              <w:t>п</w:t>
            </w:r>
            <w:proofErr w:type="gramEnd"/>
            <w:r w:rsidRPr="0090633C">
              <w:rPr>
                <w:sz w:val="24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2014 год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2015 год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 год</w:t>
            </w:r>
          </w:p>
        </w:tc>
      </w:tr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Количество организаций связи, единиц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276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277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10104B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</w:tr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Количество крупных и средних организаций связи, единиц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25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27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both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к предыдущему году, %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113,6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108,0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1C2E53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85,2</w:t>
            </w:r>
          </w:p>
        </w:tc>
      </w:tr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Объём услуг крупных и средних предприятий связи, млрд. руб.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39,1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 w:rsidRPr="0090633C">
              <w:rPr>
                <w:sz w:val="24"/>
                <w:szCs w:val="28"/>
              </w:rPr>
              <w:t>44,5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1C2E53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47,6</w:t>
            </w:r>
          </w:p>
        </w:tc>
      </w:tr>
      <w:tr w:rsidR="0090633C" w:rsidRPr="0090633C" w:rsidTr="005949DC">
        <w:tc>
          <w:tcPr>
            <w:tcW w:w="567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both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к предыдущему году, %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107,1</w:t>
            </w:r>
          </w:p>
        </w:tc>
        <w:tc>
          <w:tcPr>
            <w:tcW w:w="1802" w:type="dxa"/>
          </w:tcPr>
          <w:p w:rsidR="0090633C" w:rsidRPr="0090633C" w:rsidRDefault="0090633C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 w:rsidRPr="0090633C">
              <w:rPr>
                <w:i/>
                <w:sz w:val="24"/>
                <w:szCs w:val="28"/>
              </w:rPr>
              <w:t>105,9</w:t>
            </w:r>
          </w:p>
        </w:tc>
        <w:tc>
          <w:tcPr>
            <w:tcW w:w="1802" w:type="dxa"/>
            <w:shd w:val="clear" w:color="auto" w:fill="auto"/>
          </w:tcPr>
          <w:p w:rsidR="0090633C" w:rsidRPr="0090633C" w:rsidRDefault="001C2E53" w:rsidP="00AC065C">
            <w:pPr>
              <w:pStyle w:val="ConsPlusNormal"/>
              <w:spacing w:line="276" w:lineRule="auto"/>
              <w:contextualSpacing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105,8</w:t>
            </w:r>
          </w:p>
        </w:tc>
      </w:tr>
    </w:tbl>
    <w:p w:rsidR="00E51721" w:rsidRPr="00E51721" w:rsidRDefault="00E51721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  <w:highlight w:val="green"/>
        </w:rPr>
      </w:pPr>
    </w:p>
    <w:p w:rsidR="00E51721" w:rsidRPr="001C2E53" w:rsidRDefault="00E51721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В отрасли по состоянию на 01.01.201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осуществляли деятельность 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крупных</w:t>
      </w:r>
      <w:proofErr w:type="gramEnd"/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средних предприяти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, а также небольшие фирмы, оказывающие ра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личные услуги населению и хозяйствующим субъектам в сфере почтовой, сот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и электрической связи. </w:t>
      </w:r>
    </w:p>
    <w:p w:rsidR="00E51721" w:rsidRPr="0010104B" w:rsidRDefault="00E51721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10104B">
        <w:rPr>
          <w:szCs w:val="28"/>
        </w:rPr>
        <w:t xml:space="preserve">Услуги сотовой связи на территории муниципального образования город Краснодар предоставляют 4 </w:t>
      </w:r>
      <w:proofErr w:type="gramStart"/>
      <w:r w:rsidRPr="0010104B">
        <w:rPr>
          <w:szCs w:val="28"/>
        </w:rPr>
        <w:t>основных</w:t>
      </w:r>
      <w:proofErr w:type="gramEnd"/>
      <w:r w:rsidRPr="0010104B">
        <w:rPr>
          <w:szCs w:val="28"/>
        </w:rPr>
        <w:t xml:space="preserve"> оператора: Краснодарский филиал ОАО «</w:t>
      </w:r>
      <w:proofErr w:type="gramStart"/>
      <w:r w:rsidRPr="0010104B">
        <w:rPr>
          <w:szCs w:val="28"/>
        </w:rPr>
        <w:t>Вымпел-Коммуникации</w:t>
      </w:r>
      <w:proofErr w:type="gramEnd"/>
      <w:r w:rsidRPr="0010104B">
        <w:rPr>
          <w:szCs w:val="28"/>
        </w:rPr>
        <w:t>» (</w:t>
      </w:r>
      <w:proofErr w:type="spellStart"/>
      <w:r w:rsidRPr="0010104B">
        <w:rPr>
          <w:szCs w:val="28"/>
        </w:rPr>
        <w:t>BeeLine</w:t>
      </w:r>
      <w:proofErr w:type="spellEnd"/>
      <w:r w:rsidRPr="0010104B">
        <w:rPr>
          <w:szCs w:val="28"/>
        </w:rPr>
        <w:t xml:space="preserve">), филиал ПАО «МТС» «Макро-Регион «Юг», Кавказский филиал ОАО «Мегафон», ООО «Телеком Евразия» («TELE2»). 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Лидером рынка коммуникаций Юга России является филиал «Макро-регион «ЮГ» ПАО «МТС». Компания предоставляет абонентам весь спектр услуг сотовой связи, используя современные технологии: голосовую связь, м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бильный доступ в Интернет, высокоскоростную передачу данных различного 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формата (SMS, MMC), включая видеоизображения, осуществляет перевод аб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нентов на цифровое телевидение. В 2014 – 2016 годах для размещения обор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дования базовых станций стандарта 3G компанией построено более 100 новых площадок, проведена модернизация 314 площадок по стандарту LTE, построено 4 радиорелейных пролёта для обеспечения транспортной привязки новых об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ектов сети подвижной радиосвязи.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кластер ПАО «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Вымпелком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» (Билайн) – единственная компания на сегодняшний день в России, предоставляющая весь комплект услуг цифрового телевидения. Это телевидение абсолютно нового образца: формата высокой четкости HD TV, с поддержкой 3D-технологии, доступом к библиотеке лицензионных фильмов.  В 2014 – 2016 годах компанией построено около 50 новых площадок для размещения оборудования базовых станций, в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полнены работы по обеспечению 128 многоэтажных домов на территории м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 Краснодар широкополосным доступом в сеть Интернет и включению 20 HD-телеканалов в состав домашнего цифрового т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левидения «Билайн».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Кавказский филиал ПАО «МегаФон» сегодня – это обширная зона п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крытия, качественный сервис и многообразие инновационных услуг, в том чи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ле на базе самых прогрессивных технологий. В 2014 – 2016 годах компанией для размещения оборудования базовых станций стандарта 2G/3G построено б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лее 90 новых площадок, представлена обновлённая услуга «Детский интернет» новый сервис «СМС-контроль». В настоящее время Кавказским филиалом ПАО «МегаФон» совместно с компанией 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Huawei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продолжаются работы по тестир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ванию сети 5G в городе Краснодаре в рамках подготовки к ЧМ-2018 по футб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лу. Кроме того, впервые на Кубани начата эксплуатация сети стандарта LTE-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Advanced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позволяющая достичь скорости 300 Мбит/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ООО «T2мобайл» работает на рынке телекоммуникационных услуг под торговой маркой «TELE2». В 2014 – 2015 годах компания запустила в комме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ческую эксплуатацию сеть 3G в Краснодарском крае и Республике Адыгея. Сеть построена на современном оборудовании с использованием эволюцио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ной технологии пакетной передачи данных HSPA+. В настоящее время абоне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тами компан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ии ООО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«T2мобайл» активно эксплуатируется сеть LTE в муниц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пальном образовании город Краснодар на скорости передачи данных до 75 Мбит/сек.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Крупнейшим оператором фиксированной связи на территории Южного федерального округа является Макрорегиональный филиал «Юг» ПАО «Рост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леком», который предоставляет населению и юридическим лицам широкий спектр традиционных и перспективных услуг: услуги местной телефонной св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зи, высокоскоростной доступ к сети Интернет, кабельное телевидение, док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ментальная электросвязь и многие другие. Пропускная способность самого крупного из 10 филиалов Макрорегионального филиала «Юг» ОАО «Ростел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ком» – Краснодарского – составляет до 40 Гб/с, цифровыми каналами связи по оптоволоконным линиям обеспечены более 360 населенных пунктов края. В 2014 – 2016 годах компания увеличила монтированную ёмкость портов для обеспечения широкополосного доступа в сеть Интернет на 24,8 тысячи портов, полностью перевела всю сеть телефонной связи на цифровые технологии нов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го поколения, выполнила работы по обеспечению 42 многоэтажных домов ш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рокополосным доступом в сеть Интернет. 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Краснодарский филиал ПАО «Рост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леком» в настоящее время внедряет масштабную программу по развитию па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сивных оптических сетей по технологии PON (технология пассивных (энерг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независимых) оптических сетей, предполагающая прокладку оптического каб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ля непосредственно до домовладения абонента.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PON позволяет подключать сразу несколько услуг от одного кабеля: 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IP-телевидение, телефонию и доступ в Интернет).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преимуществом для абонентов, подключенных по техн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логии PON, является получение полного спектра услуг от одного оператора по единому высокоскоростному оптическому каналу до 100 Мбит/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242C2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Деятельность национальной почты, в основном, обеспечивается фили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лом ФГУП «Почта России» - «Управление федеральной почтовой связи Кра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нодарского края». Всего Почта предлагает своим клиентам свыше 80 почтовых, финансовых, инфокоммуникационных и прочих услуг. Краснодарский почтамт – это 71 объект почтовой связи, предоставляющих широкий спектр почтовых и 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непочтовых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услуг: отправка писем, бандеролей, посылок, экспресс-почта «ЕМ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», регион-курьер, выплата пенсий и пособий, почтовые переводы. В пер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r w:rsidR="001D3F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2014 по 2016 год открыто 3 </w:t>
      </w: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почтовой </w:t>
      </w:r>
      <w:r w:rsidR="00A242C2">
        <w:rPr>
          <w:rFonts w:ascii="Times New Roman" w:eastAsia="Times New Roman" w:hAnsi="Times New Roman"/>
          <w:sz w:val="28"/>
          <w:szCs w:val="28"/>
          <w:lang w:eastAsia="ru-RU"/>
        </w:rPr>
        <w:t>связи.</w:t>
      </w:r>
    </w:p>
    <w:p w:rsidR="0010104B" w:rsidRPr="0010104B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Краснодарский</w:t>
      </w:r>
      <w:proofErr w:type="gram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КРТПЦ представляет услуги населению города Краснод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D3F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радио и телевещанию. В 2014 – 2015 годах  центром проведены работы по переходу с аналогового вещания на цифровое, что привело к улучшению кач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ства изображения и звука.</w:t>
      </w:r>
    </w:p>
    <w:p w:rsidR="00E51721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Помимо вышеперечисленных организаций на территории муниципальн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город Краснодар осуществляют деятельность предприятия меньшего размера, предоставляющие аналогичные услуги в разных частях г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рода (ООО «Южный ТЕЛЕКОМ», ООО «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Даймэкс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Скартелл</w:t>
      </w:r>
      <w:proofErr w:type="spellEnd"/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» и др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104B">
        <w:rPr>
          <w:rFonts w:ascii="Times New Roman" w:eastAsia="Times New Roman" w:hAnsi="Times New Roman"/>
          <w:sz w:val="28"/>
          <w:szCs w:val="28"/>
          <w:lang w:eastAsia="ru-RU"/>
        </w:rPr>
        <w:t>гие).</w:t>
      </w:r>
    </w:p>
    <w:p w:rsidR="0010104B" w:rsidRPr="00E51721" w:rsidRDefault="0010104B" w:rsidP="0010104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E51721" w:rsidRPr="001C2E53" w:rsidRDefault="00E51721" w:rsidP="00AC065C">
      <w:pPr>
        <w:tabs>
          <w:tab w:val="left" w:pos="993"/>
        </w:tabs>
        <w:spacing w:after="0" w:line="276" w:lineRule="auto"/>
        <w:ind w:left="720" w:hanging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2E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связи</w:t>
      </w:r>
    </w:p>
    <w:p w:rsidR="00E51721" w:rsidRPr="001C2E53" w:rsidRDefault="00E51721" w:rsidP="00AC065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721" w:rsidRPr="001C2E53" w:rsidRDefault="00E51721" w:rsidP="00AC065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количества предприятий, функционирующих на рынке услуг связи, очень высокая. Значительная доля участников опроса – </w:t>
      </w:r>
      <w:r w:rsidR="001C2E5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C2E53">
        <w:rPr>
          <w:rFonts w:ascii="Times New Roman" w:eastAsia="Times New Roman" w:hAnsi="Times New Roman"/>
          <w:sz w:val="28"/>
          <w:szCs w:val="28"/>
          <w:lang w:eastAsia="ru-RU"/>
        </w:rPr>
        <w:t>3984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век</w:t>
      </w:r>
      <w:r w:rsidR="001C2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1C2E5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C2E53">
        <w:rPr>
          <w:rFonts w:ascii="Times New Roman" w:eastAsia="Times New Roman" w:hAnsi="Times New Roman"/>
          <w:sz w:val="28"/>
          <w:szCs w:val="28"/>
          <w:lang w:eastAsia="ru-RU"/>
        </w:rPr>
        <w:t>2657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соответственно, указали, что предложение на да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рынке является достаточным и избыточным. Всего 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477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жит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лей и 1% (</w:t>
      </w:r>
      <w:r w:rsidR="001C2E53" w:rsidRPr="001C2E53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опрошенных, отметили, соответственно, что число ко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паний на рынке услуг связи мало и нет совсем. </w:t>
      </w:r>
    </w:p>
    <w:p w:rsidR="001C2E53" w:rsidRPr="001C2E53" w:rsidRDefault="001C2E53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</w:p>
    <w:p w:rsidR="001C2E53" w:rsidRPr="001C2E53" w:rsidRDefault="001C2E53" w:rsidP="00AC065C">
      <w:pPr>
        <w:pStyle w:val="ConsPlusNormal"/>
        <w:spacing w:line="276" w:lineRule="auto"/>
        <w:contextualSpacing/>
        <w:jc w:val="center"/>
        <w:rPr>
          <w:szCs w:val="28"/>
        </w:rPr>
      </w:pPr>
      <w:r w:rsidRPr="001C2E53">
        <w:rPr>
          <w:noProof/>
          <w:szCs w:val="28"/>
        </w:rPr>
        <w:drawing>
          <wp:inline distT="0" distB="0" distL="0" distR="0" wp14:anchorId="20CF91AE" wp14:editId="5614740F">
            <wp:extent cx="4219575" cy="2162175"/>
            <wp:effectExtent l="0" t="0" r="9525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C2E53" w:rsidRPr="001C2E53" w:rsidRDefault="001C2E53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</w:p>
    <w:p w:rsidR="00E51721" w:rsidRPr="001C2E53" w:rsidRDefault="00E51721" w:rsidP="00AC065C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1C2E53">
        <w:rPr>
          <w:szCs w:val="28"/>
        </w:rPr>
        <w:t>Учитывая насыщенность рынка,</w:t>
      </w:r>
      <w:r w:rsidRPr="001C2E53">
        <w:t xml:space="preserve"> </w:t>
      </w:r>
      <w:r w:rsidRPr="001C2E53">
        <w:rPr>
          <w:szCs w:val="28"/>
        </w:rPr>
        <w:t>доминирование на рынке подвижной связи основных лидеров отрасли, высокая стоимость оборудования, необход</w:t>
      </w:r>
      <w:r w:rsidRPr="001C2E53">
        <w:rPr>
          <w:szCs w:val="28"/>
        </w:rPr>
        <w:t>и</w:t>
      </w:r>
      <w:r w:rsidRPr="001C2E53">
        <w:rPr>
          <w:szCs w:val="28"/>
        </w:rPr>
        <w:t xml:space="preserve">мого для построения конкурентоспособной сети, для операторов сотовой связи на первое место выходят задачи по улучшению качества предоставляемых услуг, предложению высокотехнологичных и дополнительных услуг клиентам, поиску и внедрению новых форм обслуживания населения, что способствует сохраняющейся положительной динамике предоставления услуг связи. </w:t>
      </w:r>
    </w:p>
    <w:p w:rsidR="001C2E53" w:rsidRDefault="00E51721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2E53">
        <w:rPr>
          <w:rFonts w:ascii="Times New Roman" w:hAnsi="Times New Roman"/>
          <w:sz w:val="28"/>
          <w:szCs w:val="28"/>
        </w:rPr>
        <w:t>Поэтому и качество услуг рынка связи муниципального образования п</w:t>
      </w:r>
      <w:r w:rsidRPr="001C2E53">
        <w:rPr>
          <w:rFonts w:ascii="Times New Roman" w:hAnsi="Times New Roman"/>
          <w:sz w:val="28"/>
          <w:szCs w:val="28"/>
        </w:rPr>
        <w:t>о</w:t>
      </w:r>
      <w:r w:rsidRPr="001C2E53">
        <w:rPr>
          <w:rFonts w:ascii="Times New Roman" w:hAnsi="Times New Roman"/>
          <w:sz w:val="28"/>
          <w:szCs w:val="28"/>
        </w:rPr>
        <w:t xml:space="preserve">лучило высокую оценку потребителей. Большая часть населения, прошедшего анкетирование, выбрала вариант ответа «удовлетворен» качеством рынка услуг связи – </w:t>
      </w:r>
      <w:r w:rsidR="001C2E53" w:rsidRPr="001C2E53">
        <w:rPr>
          <w:rFonts w:ascii="Times New Roman" w:hAnsi="Times New Roman"/>
          <w:sz w:val="28"/>
          <w:szCs w:val="28"/>
        </w:rPr>
        <w:t>77</w:t>
      </w:r>
      <w:r w:rsidRPr="001C2E53">
        <w:rPr>
          <w:rFonts w:ascii="Times New Roman" w:hAnsi="Times New Roman"/>
          <w:sz w:val="28"/>
          <w:szCs w:val="28"/>
        </w:rPr>
        <w:t>% (</w:t>
      </w:r>
      <w:r w:rsidR="001C2E53" w:rsidRPr="001C2E53">
        <w:rPr>
          <w:rFonts w:ascii="Times New Roman" w:hAnsi="Times New Roman"/>
          <w:sz w:val="28"/>
          <w:szCs w:val="28"/>
        </w:rPr>
        <w:t>5520</w:t>
      </w:r>
      <w:r w:rsidRPr="001C2E53">
        <w:rPr>
          <w:rFonts w:ascii="Times New Roman" w:hAnsi="Times New Roman"/>
          <w:sz w:val="28"/>
          <w:szCs w:val="28"/>
        </w:rPr>
        <w:t xml:space="preserve"> человек). </w:t>
      </w:r>
      <w:r w:rsidR="001C2E53" w:rsidRPr="001C2E53">
        <w:rPr>
          <w:rFonts w:ascii="Times New Roman" w:hAnsi="Times New Roman"/>
          <w:sz w:val="28"/>
          <w:szCs w:val="28"/>
        </w:rPr>
        <w:t xml:space="preserve">«Скорее </w:t>
      </w:r>
      <w:proofErr w:type="gramStart"/>
      <w:r w:rsidR="001C2E53" w:rsidRPr="001C2E5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1C2E53" w:rsidRPr="001C2E53">
        <w:rPr>
          <w:rFonts w:ascii="Times New Roman" w:hAnsi="Times New Roman"/>
          <w:sz w:val="28"/>
          <w:szCs w:val="28"/>
        </w:rPr>
        <w:t>»</w:t>
      </w:r>
      <w:r w:rsidRPr="001C2E53">
        <w:rPr>
          <w:rFonts w:ascii="Times New Roman" w:hAnsi="Times New Roman"/>
          <w:sz w:val="28"/>
          <w:szCs w:val="28"/>
        </w:rPr>
        <w:t xml:space="preserve"> </w:t>
      </w:r>
      <w:r w:rsidR="001C2E53" w:rsidRPr="001C2E53">
        <w:rPr>
          <w:rFonts w:ascii="Times New Roman" w:hAnsi="Times New Roman"/>
          <w:sz w:val="28"/>
          <w:szCs w:val="28"/>
        </w:rPr>
        <w:t>14</w:t>
      </w:r>
      <w:r w:rsidRPr="001C2E53">
        <w:rPr>
          <w:rFonts w:ascii="Times New Roman" w:hAnsi="Times New Roman"/>
          <w:sz w:val="28"/>
          <w:szCs w:val="28"/>
        </w:rPr>
        <w:t>% (</w:t>
      </w:r>
      <w:r w:rsidR="001C2E53" w:rsidRPr="001C2E53">
        <w:rPr>
          <w:rFonts w:ascii="Times New Roman" w:hAnsi="Times New Roman"/>
          <w:sz w:val="28"/>
          <w:szCs w:val="28"/>
        </w:rPr>
        <w:t>1001</w:t>
      </w:r>
      <w:r w:rsidRPr="001C2E53">
        <w:rPr>
          <w:rFonts w:ascii="Times New Roman" w:hAnsi="Times New Roman"/>
          <w:sz w:val="28"/>
          <w:szCs w:val="28"/>
        </w:rPr>
        <w:t xml:space="preserve"> человек) кра</w:t>
      </w:r>
      <w:r w:rsidRPr="001C2E53">
        <w:rPr>
          <w:rFonts w:ascii="Times New Roman" w:hAnsi="Times New Roman"/>
          <w:sz w:val="28"/>
          <w:szCs w:val="28"/>
        </w:rPr>
        <w:t>с</w:t>
      </w:r>
      <w:r w:rsidRPr="001C2E53">
        <w:rPr>
          <w:rFonts w:ascii="Times New Roman" w:hAnsi="Times New Roman"/>
          <w:sz w:val="28"/>
          <w:szCs w:val="28"/>
        </w:rPr>
        <w:t>нодарцев. Варианты ответа «скорее не удовлетворен» и «не удовлетворен» в</w:t>
      </w:r>
      <w:r w:rsidRPr="001C2E53">
        <w:rPr>
          <w:rFonts w:ascii="Times New Roman" w:hAnsi="Times New Roman"/>
          <w:sz w:val="28"/>
          <w:szCs w:val="28"/>
        </w:rPr>
        <w:t>ы</w:t>
      </w:r>
      <w:r w:rsidRPr="001C2E53">
        <w:rPr>
          <w:rFonts w:ascii="Times New Roman" w:hAnsi="Times New Roman"/>
          <w:sz w:val="28"/>
          <w:szCs w:val="28"/>
        </w:rPr>
        <w:t xml:space="preserve">брали </w:t>
      </w:r>
      <w:r w:rsidR="001C2E53" w:rsidRPr="001C2E53">
        <w:rPr>
          <w:rFonts w:ascii="Times New Roman" w:hAnsi="Times New Roman"/>
          <w:sz w:val="28"/>
          <w:szCs w:val="28"/>
        </w:rPr>
        <w:t>5</w:t>
      </w:r>
      <w:r w:rsidRPr="001C2E53">
        <w:rPr>
          <w:rFonts w:ascii="Times New Roman" w:hAnsi="Times New Roman"/>
          <w:sz w:val="28"/>
          <w:szCs w:val="28"/>
        </w:rPr>
        <w:t>% (</w:t>
      </w:r>
      <w:r w:rsidR="001C2E53" w:rsidRPr="001C2E53">
        <w:rPr>
          <w:rFonts w:ascii="Times New Roman" w:hAnsi="Times New Roman"/>
          <w:sz w:val="28"/>
          <w:szCs w:val="28"/>
        </w:rPr>
        <w:t>401</w:t>
      </w:r>
      <w:r w:rsidRPr="001C2E53">
        <w:rPr>
          <w:rFonts w:ascii="Times New Roman" w:hAnsi="Times New Roman"/>
          <w:sz w:val="28"/>
          <w:szCs w:val="28"/>
        </w:rPr>
        <w:t xml:space="preserve"> человек) и 4% (</w:t>
      </w:r>
      <w:r w:rsidR="001C2E53" w:rsidRPr="001C2E53">
        <w:rPr>
          <w:rFonts w:ascii="Times New Roman" w:hAnsi="Times New Roman"/>
          <w:sz w:val="28"/>
          <w:szCs w:val="28"/>
        </w:rPr>
        <w:t>283</w:t>
      </w:r>
      <w:r w:rsidRPr="001C2E53">
        <w:rPr>
          <w:rFonts w:ascii="Times New Roman" w:hAnsi="Times New Roman"/>
          <w:sz w:val="28"/>
          <w:szCs w:val="28"/>
        </w:rPr>
        <w:t xml:space="preserve"> человека) соответственно. </w:t>
      </w:r>
    </w:p>
    <w:p w:rsidR="00766F09" w:rsidRPr="001C2E53" w:rsidRDefault="00766F09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E53" w:rsidRPr="001C2E53" w:rsidRDefault="001C2E53" w:rsidP="00AC065C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C2E53">
        <w:rPr>
          <w:noProof/>
          <w:lang w:eastAsia="ru-RU"/>
        </w:rPr>
        <w:drawing>
          <wp:inline distT="0" distB="0" distL="0" distR="0" wp14:anchorId="69B557F6" wp14:editId="6CFC6383">
            <wp:extent cx="4381500" cy="21907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D0684" w:rsidRDefault="00E51721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Несмотря на то, что данный рынок является материалоемким, его фун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ционирование происходит в условиях конкуренции, о чем свидетельствует д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статочно широкий перечень предоставляемых услуг, которые зависят от скор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сти, надежности, предоставления дополнительных сервисов, их удобства, ра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пространенности, а также различная тарификация данных услуг. </w:t>
      </w:r>
    </w:p>
    <w:p w:rsidR="009D0684" w:rsidRDefault="009D068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хозяйствующих субъектов, осуществляющих деятельность в сфере услуг связи, оценили уровень конкуренции на своем рынке как «ум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ренный»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37,5%, либо «высокий»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33,3%. Около 17% опрошенных считают, что уровень конкуренции в их сфере деятельности «очень высокий», 12,5% - конкуренция на рынке услуг связи «слабая» либо ее нет.</w:t>
      </w:r>
    </w:p>
    <w:p w:rsidR="009D0684" w:rsidRDefault="009D0684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84" w:rsidRPr="001C2E53" w:rsidRDefault="009D0684" w:rsidP="00AC06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828F0E" wp14:editId="10B6C64F">
            <wp:extent cx="4171950" cy="2171700"/>
            <wp:effectExtent l="0" t="0" r="19050" b="1905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D0684" w:rsidRDefault="009D0684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84" w:rsidRDefault="009D068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Пятая часть представителей сферы услуг связи отметили, что органы 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помогают бизнесу, еще пятая часть опрошенных считает, что органы власти ничего не предпринимают, что и требуется, либо мешают. Оставшиеся учас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 опроса уверены, что в чем-то органы власти помогают, в чем-то мешают их предпринимательской деятельности.</w:t>
      </w:r>
    </w:p>
    <w:p w:rsidR="009D0684" w:rsidRDefault="009D0684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Важнейшим фактором дальнейшего развития конкуренции на рынке я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ляется открытость и доступность информации о тарифах, наличие технической возможности перехода от одного оператора связи к другому, привлекател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2E53">
        <w:rPr>
          <w:rFonts w:ascii="Times New Roman" w:eastAsia="Times New Roman" w:hAnsi="Times New Roman"/>
          <w:sz w:val="28"/>
          <w:szCs w:val="28"/>
          <w:lang w:eastAsia="ru-RU"/>
        </w:rPr>
        <w:t>ность услуг по качеству и цене.</w:t>
      </w:r>
    </w:p>
    <w:p w:rsidR="00E51721" w:rsidRPr="001C2E53" w:rsidRDefault="009D0684" w:rsidP="00AC065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ерспективы развития рынка связи в муниципальном образовании город Краснодар: наращивание телефонной базы, развитие сети сотовой связи в целях исключения «белых» пятен в покрытии и увеличении емкостей базовых ста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ций в местах высокой концентрации абонентов; переход абонентов мобильного интернета на стандарт 4G, появление точек </w:t>
      </w:r>
      <w:proofErr w:type="spellStart"/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с бесплатным доступом в и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тернет в местах обслуживания клиентов, увеличение области покрытия и ск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рости доступа интернет;</w:t>
      </w:r>
      <w:proofErr w:type="gramEnd"/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объема почтовых отправлений и уменьш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1721" w:rsidRPr="001C2E53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время доставки посылок.  </w:t>
      </w:r>
    </w:p>
    <w:p w:rsidR="000B51CE" w:rsidRPr="000B51CE" w:rsidRDefault="000B51CE" w:rsidP="00AC065C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Рынок услуг социального обслуживания населения.</w:t>
      </w:r>
    </w:p>
    <w:p w:rsidR="000B51CE" w:rsidRPr="000B51CE" w:rsidRDefault="000B51CE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Социальное обслуживание различных категорий населения  – составная часть современной социальной политики муниципального образования город Краснодар. 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</w:t>
      </w:r>
      <w:r w:rsidR="00233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социальное обслуживание граждан в городе осуществлялось в соответствии с Федеральными законами от 02.08.1995 № 122-ФЗ «О социал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обслуживании граждан пожилого возраста и инвалидов» и от 10.12.1995 № 195-ФЗ «Об основах социального обслуживания населения», законом Красн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дарского края  от 29.12.2004 № 825-КЗ «О социальном обслуживании населения Краснодарского края», на основании постановлений главы администрации Краснодарского края от 18.02.2005 № 101 «О краевом перечне гарантирова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gramEnd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социальных услуг, предоставляемых гражданам пожил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возраста и инвалидам государственными учреждениями социального обсл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живания Краснодарского края», от 30.03.2005 № 259 «О порядке и условиях оплаты социальных услуг, предоставляемых на дому, в полустационарных и стационарных условиях полустационарными учреждениями социального 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служивания Краснодарского края».</w:t>
      </w:r>
      <w:proofErr w:type="gramEnd"/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01.01.2015 вступил в силу Федеральный закон от 28.12.2013 № 442-ФЗ «Об основах социального обслуживания граждан в Российской Федерации», в соответствии с которым в краевом центре осуществляется социальное обсл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живание граждан.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Краснодаре успешно действуют 10 государственных учреждений соц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обслуживания населения:</w:t>
      </w:r>
    </w:p>
    <w:p w:rsidR="000B51CE" w:rsidRPr="000B51CE" w:rsidRDefault="000B51CE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- 4 центра социального обслуживания пожилых граждан и инвалидов;</w:t>
      </w:r>
    </w:p>
    <w:p w:rsidR="000B51CE" w:rsidRPr="000B51CE" w:rsidRDefault="000B51CE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- 4 центра социального обслуживания семьи и детей;</w:t>
      </w:r>
    </w:p>
    <w:p w:rsidR="000B51CE" w:rsidRPr="000B51CE" w:rsidRDefault="000B51CE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центр социальной адаптации для лиц без определенного места жител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и занятий;</w:t>
      </w:r>
    </w:p>
    <w:p w:rsidR="000B51CE" w:rsidRPr="000B51CE" w:rsidRDefault="000B51CE" w:rsidP="00AC065C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геронтологический центр.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учреждений социального обслуживания граждан направл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 оказание социально-бытовых, социально-медицинских, психолого-педагогических, социально-правовых и иных социальных услуг и материальной помощи гражданам, семьям с детьми, семьям с детьми, находящимся в трудной жизненной ситуации, социально опасном положении, а также на оказание с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в их социализации, реабилитации и социальной адаптации.</w:t>
      </w:r>
    </w:p>
    <w:p w:rsid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68B" w:rsidRDefault="00E7768B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CE" w:rsidRPr="000B51CE" w:rsidRDefault="000B51CE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Социальная помощь и поддержка населения в 201</w:t>
      </w:r>
      <w:r w:rsidR="00FA6C1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 w:rsidRPr="000B51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201</w:t>
      </w:r>
      <w:r w:rsidR="00FA6C1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</w:t>
      </w:r>
      <w:r w:rsidRPr="000B51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годах</w:t>
      </w:r>
    </w:p>
    <w:p w:rsidR="000B51CE" w:rsidRPr="000B51CE" w:rsidRDefault="000B51CE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CE" w:rsidRPr="000B51CE" w:rsidRDefault="000B51CE" w:rsidP="00AC065C">
      <w:pPr>
        <w:spacing w:after="0" w:line="276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FA6C1E" w:rsidRPr="000B51CE" w:rsidTr="000F1BF1">
        <w:trPr>
          <w:tblHeader/>
        </w:trPr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01.01.2015 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01.01.2017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граждан, обслуженных в центрах с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циального обслуживания населения, человек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30689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19797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26476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пожилых граждан, инвалидов и лиц БОМЖ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23883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15389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23372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родителей несовершеннолетних детей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6806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2048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1056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региональных льготников, имеющих право на пользование социальным пакетом и пр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на получение ежемесячных денежных выплат, человек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63718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68149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77226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ветераны труда и военной службы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61929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66405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70852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4841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1533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выплат, всего, млн. руб.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получателей ежемесячных пособий на детей, человек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45061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48178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52807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выплаченных пособий на детей, млн. руб.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476,1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малоимущих семей, единиц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5684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6571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7202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выплаченной государственной помощи, млн. руб.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многодетных семей, единиц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6831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7884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выплаченных пособий, млн. руб.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Почётных граждан города Краснод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ра, человек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A6C1E" w:rsidRPr="000B51CE" w:rsidTr="000F1BF1">
        <w:tc>
          <w:tcPr>
            <w:tcW w:w="538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компенсации расходов на оплату ЖКУ многодетным семьям и Почётным гражданам г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рода, млн. руб.</w:t>
            </w:r>
          </w:p>
        </w:tc>
        <w:tc>
          <w:tcPr>
            <w:tcW w:w="1417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8" w:type="dxa"/>
            <w:shd w:val="clear" w:color="auto" w:fill="auto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</w:tcPr>
          <w:p w:rsidR="00FA6C1E" w:rsidRPr="000B51CE" w:rsidRDefault="00FA6C1E" w:rsidP="0038567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</w:tbl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left="720" w:hanging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рынка услуг социального обслуживания населения</w:t>
      </w:r>
    </w:p>
    <w:p w:rsidR="00185A30" w:rsidRDefault="00185A30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BF1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количества организаций </w:t>
      </w:r>
      <w:r w:rsidR="000F1BF1" w:rsidRPr="000B51CE">
        <w:rPr>
          <w:rFonts w:ascii="Times New Roman" w:eastAsia="Times New Roman" w:hAnsi="Times New Roman"/>
          <w:sz w:val="28"/>
          <w:szCs w:val="28"/>
          <w:lang w:eastAsia="ru-RU"/>
        </w:rPr>
        <w:t>в сфере социального обслуживания нас</w:t>
      </w:r>
      <w:r w:rsidR="000F1BF1" w:rsidRPr="000B51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1BF1"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показал, что 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более 40%</w:t>
      </w:r>
      <w:r w:rsidR="000F1BF1"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граждан считает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, что их</w:t>
      </w:r>
      <w:r w:rsidR="000F1BF1"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о (3041 человек), а 28% считают, что организаций избыточно (2039 человек). Б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лее 26% опрошенных (1917 человек) указали, что организаций в этой сфере м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1BF1">
        <w:rPr>
          <w:rFonts w:ascii="Times New Roman" w:eastAsia="Times New Roman" w:hAnsi="Times New Roman"/>
          <w:sz w:val="28"/>
          <w:szCs w:val="28"/>
          <w:lang w:eastAsia="ru-RU"/>
        </w:rPr>
        <w:t xml:space="preserve">ло, а 208 человек </w:t>
      </w:r>
      <w:r w:rsidR="00185A30">
        <w:rPr>
          <w:rFonts w:ascii="Times New Roman" w:eastAsia="Times New Roman" w:hAnsi="Times New Roman"/>
          <w:sz w:val="28"/>
          <w:szCs w:val="28"/>
          <w:lang w:eastAsia="ru-RU"/>
        </w:rPr>
        <w:t>– что таких организаций нет совсем.</w:t>
      </w:r>
    </w:p>
    <w:p w:rsidR="00185A30" w:rsidRDefault="00185A30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A30" w:rsidRDefault="00185A30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E27D58" wp14:editId="61EF7F18">
            <wp:extent cx="4238625" cy="223837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85A30" w:rsidRDefault="00185A30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BF1" w:rsidRDefault="00185A30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Качеством услуг, предоставляемых вышеуказанными организациями, полностью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68% граждан, принявших участие в опросе (4893 человека), скорее удовлетворены 13% опрошенных (941 человек). 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12%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911 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скорее не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предоста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 xml:space="preserve">ляемых на рынке услуг,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чуть более 6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0 человек) им полностью не удовл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51CE">
        <w:rPr>
          <w:rFonts w:ascii="Times New Roman" w:eastAsia="Times New Roman" w:hAnsi="Times New Roman"/>
          <w:sz w:val="28"/>
          <w:szCs w:val="28"/>
          <w:lang w:eastAsia="ru-RU"/>
        </w:rPr>
        <w:t>творены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BF1" w:rsidRDefault="000F1BF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BF1" w:rsidRDefault="00185A30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EBABAA" wp14:editId="5B255A78">
            <wp:extent cx="4324350" cy="2209800"/>
            <wp:effectExtent l="0" t="0" r="1905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85A30" w:rsidRDefault="00185A30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4F4" w:rsidRDefault="009874F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социального обслуживания населения города характеризуе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100% присутствием государства. Мнения представителей этого рынка услуг относительно конкуренции на нем разделились: 36,4% считают, что на нем конкуренция есть и она «умеренная», 27,2% опрошенных считают, что конк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ренция тут «слабая», еще 36,4%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конкуренции в этой сфере услуг нет. </w:t>
      </w:r>
    </w:p>
    <w:p w:rsidR="009874F4" w:rsidRDefault="009874F4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A30" w:rsidRDefault="009874F4" w:rsidP="00AC065C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72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0C92E6" wp14:editId="546C4B35">
            <wp:extent cx="4276725" cy="2238375"/>
            <wp:effectExtent l="0" t="0" r="9525" b="9525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874F4" w:rsidRDefault="009874F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рынка социального обслуживания населения муниципал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образования: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невысокий уровень и качество жизни отдельных слоев населения;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высокая доля малообеспеченного населения;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высокая социальная и материальная дифференциация населения;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сохранение занятости после выхода на пенсию связано с низким разм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 пенсионных выплат;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постепенно увеличивающийся возра</w:t>
      </w: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вст</w:t>
      </w:r>
      <w:proofErr w:type="gramEnd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упления на рынок труда вследствие растущей продолжительности получения образования и барьеров на вход в формальный рынок труда у молодёжи;</w:t>
      </w:r>
    </w:p>
    <w:p w:rsidR="000B51CE" w:rsidRPr="000B51CE" w:rsidRDefault="000B51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структуры рынка труда, уменьшение на нём доли профессий, требующих тяжёлого физического труда и, следовательно, изменение границ трудоспособности.</w:t>
      </w:r>
    </w:p>
    <w:p w:rsidR="009874F4" w:rsidRDefault="009874F4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50% принявших участие в анкетировании указали, что органы 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помогают бизнесу на данном рынке, либо не предпринимают никаких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ствий, остальные предприниматели считают, что в чем-то органы власти пом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гают, в чем-то мешают.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социального обслуживания во многом определяет виды админ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стративных барьеров, сопровождающих получение потребителем социального сервиса.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Специфические административные барьеры на рынке социального 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служивания населения: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 выплате денежных средств: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сложная процедура – выплата бюджетных сре</w:t>
      </w: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стр</w:t>
      </w:r>
      <w:proofErr w:type="gramEnd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регламентир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вана, сопряжена с необходимостью оформления множества документов и жес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контролируется,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отсутствие сопутствующих сервисов – может потребоваться копиров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документов, открытие счета в банке, нотариальное оформление доверенн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 оплате за потребителя: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сложная процедура – потребитель вынужден взаимодействовать и с ок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зывающей сервис организацией и с оплачивающей его,</w:t>
      </w:r>
      <w:proofErr w:type="gramEnd"/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несогласованность действий разных учреждений;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при компенсации ранее произведенных расходов: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потенциальный барьер из расходов,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информации – все нюансы предоставления компенсации нужно знать заранее, до расходования собственных средств,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несогласованные действия разных учреждений – предоставляющая ко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пенсацию организация может предъявлять к расходным документам дополн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тельные требования, не соблюдаемые теми, кому оплачены деньги;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при предоставлении вещей и оказании услуг: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низкая полезность – потребитель не может подобрать необходимую ему вещь (услугу) по размеру или иным параметрам, ассортимент чрезвычайно ограничен;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 предоставлении приоритета (некоторым категориям потребителей массового сервиса оказывается приоритетное обслуживание - внеочередное, в специальных условиях или по особым правилам):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недостаток информации –  приоритетные категории потребителей могут не знать о своих правах,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низкая полезность – в отсутствие дефицита практическая польза от вн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очередного обслуживания резко падает.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ростом численности жителей, в том числе пенсионного возраста, ра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ширением круга потребностей людей возникает необходимость в расширении и модернизации социальной инфраструктуры. Необходимо: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дальнейшее совершенствование нормативной правовой базы, регулир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ющей предоставление социальных выплат в муниципальном образовании город Краснодар; 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ежегодное увеличение пенсионных и социальных выплат;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улучшение </w:t>
      </w: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работы органов социальной защиты населения</w:t>
      </w:r>
      <w:proofErr w:type="gramEnd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предоставлению социальных выплат, обеспечению их гарантированности и доступности категориям граждан, нуждающимся в особой защите государства;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безопасных условий функционирования и комфортных усл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 оказания социальных услуг учреждениями социального обслуживания;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оснащение современным оборудованием действующих и открытие н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учреждений социального обслуживания семьи и детства, граждан пожил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возраста и инвалидов;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системы социальных услуг, расширение их ассортимента и п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вышение качества;</w:t>
      </w:r>
    </w:p>
    <w:p w:rsidR="000B51CE" w:rsidRPr="000B51CE" w:rsidRDefault="000B51CE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деятельности социально-реабилитационных центров по социально-бытовой адаптации инвалидов и детей-инвалидов, а также де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 территориальных органов социальной защиты населения по обесп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чению </w:t>
      </w:r>
      <w:proofErr w:type="gramStart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по беспрепя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ственному доступу инвалидов и маломобильных граждан к объектам социал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B5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инфраструктуры.</w:t>
      </w:r>
    </w:p>
    <w:p w:rsidR="00456115" w:rsidRPr="008A7688" w:rsidRDefault="00456115" w:rsidP="00AC065C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8A7688">
        <w:rPr>
          <w:rFonts w:ascii="Times New Roman" w:hAnsi="Times New Roman"/>
          <w:sz w:val="28"/>
          <w:szCs w:val="28"/>
          <w:lang w:eastAsia="ru-RU"/>
        </w:rPr>
        <w:tab/>
      </w:r>
    </w:p>
    <w:p w:rsidR="00E7768B" w:rsidRDefault="007D1DBB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деятельности субъектов естественных монополий </w:t>
      </w:r>
    </w:p>
    <w:p w:rsidR="007D1DBB" w:rsidRPr="0054115E" w:rsidRDefault="007D1DBB" w:rsidP="00AC065C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1A4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</w:t>
      </w:r>
      <w:r w:rsidRPr="00A231A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231A4">
        <w:rPr>
          <w:rFonts w:ascii="Times New Roman" w:eastAsia="Times New Roman" w:hAnsi="Times New Roman"/>
          <w:b/>
          <w:sz w:val="28"/>
          <w:szCs w:val="28"/>
          <w:lang w:eastAsia="ru-RU"/>
        </w:rPr>
        <w:t>рии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 Краснодар.</w:t>
      </w:r>
    </w:p>
    <w:p w:rsidR="007D1DBB" w:rsidRDefault="007D1DBB" w:rsidP="00AC065C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538" w:rsidRDefault="007D1DBB" w:rsidP="00AC065C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56115" w:rsidRPr="009D040B">
        <w:rPr>
          <w:rFonts w:ascii="Times New Roman" w:hAnsi="Times New Roman"/>
          <w:sz w:val="28"/>
          <w:szCs w:val="28"/>
          <w:lang w:eastAsia="ru-RU"/>
        </w:rPr>
        <w:t xml:space="preserve">Экономика города как живой организм </w:t>
      </w:r>
      <w:proofErr w:type="gramStart"/>
      <w:r w:rsidR="00456115" w:rsidRPr="009D040B">
        <w:rPr>
          <w:rFonts w:ascii="Times New Roman" w:hAnsi="Times New Roman"/>
          <w:sz w:val="28"/>
          <w:szCs w:val="28"/>
          <w:lang w:eastAsia="ru-RU"/>
        </w:rPr>
        <w:t>растет и развивается</w:t>
      </w:r>
      <w:proofErr w:type="gramEnd"/>
      <w:r w:rsidR="00456115" w:rsidRPr="009D040B">
        <w:rPr>
          <w:rFonts w:ascii="Times New Roman" w:hAnsi="Times New Roman"/>
          <w:sz w:val="28"/>
          <w:szCs w:val="28"/>
          <w:lang w:eastAsia="ru-RU"/>
        </w:rPr>
        <w:t xml:space="preserve">, и для </w:t>
      </w:r>
      <w:proofErr w:type="spellStart"/>
      <w:r w:rsidR="00456115" w:rsidRPr="009D040B">
        <w:rPr>
          <w:rFonts w:ascii="Times New Roman" w:hAnsi="Times New Roman"/>
          <w:sz w:val="28"/>
          <w:szCs w:val="28"/>
          <w:lang w:eastAsia="ru-RU"/>
        </w:rPr>
        <w:t>стиму</w:t>
      </w:r>
      <w:proofErr w:type="spellEnd"/>
      <w:r w:rsidR="00AE0538">
        <w:rPr>
          <w:rFonts w:ascii="Times New Roman" w:hAnsi="Times New Roman"/>
          <w:sz w:val="28"/>
          <w:szCs w:val="28"/>
          <w:lang w:eastAsia="ru-RU"/>
        </w:rPr>
        <w:t>-</w:t>
      </w:r>
    </w:p>
    <w:p w:rsidR="00456115" w:rsidRDefault="00456115" w:rsidP="00AC065C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9D040B">
        <w:rPr>
          <w:rFonts w:ascii="Times New Roman" w:hAnsi="Times New Roman"/>
          <w:sz w:val="28"/>
          <w:szCs w:val="28"/>
          <w:lang w:eastAsia="ru-RU"/>
        </w:rPr>
        <w:t>лирования</w:t>
      </w:r>
      <w:proofErr w:type="spellEnd"/>
      <w:r w:rsidRPr="009D040B">
        <w:rPr>
          <w:rFonts w:ascii="Times New Roman" w:hAnsi="Times New Roman"/>
          <w:sz w:val="28"/>
          <w:szCs w:val="28"/>
          <w:lang w:eastAsia="ru-RU"/>
        </w:rPr>
        <w:t xml:space="preserve"> позитивных </w:t>
      </w:r>
      <w:proofErr w:type="gramStart"/>
      <w:r w:rsidRPr="009D040B">
        <w:rPr>
          <w:rFonts w:ascii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9D040B">
        <w:rPr>
          <w:rFonts w:ascii="Times New Roman" w:hAnsi="Times New Roman"/>
          <w:sz w:val="28"/>
          <w:szCs w:val="28"/>
          <w:lang w:eastAsia="ru-RU"/>
        </w:rPr>
        <w:t xml:space="preserve"> очень важно сформировать благоприятные условия, проводить разумную тарифную политику, учитыва</w:t>
      </w:r>
      <w:r w:rsidRPr="009D040B">
        <w:rPr>
          <w:rFonts w:ascii="Times New Roman" w:hAnsi="Times New Roman"/>
          <w:sz w:val="28"/>
          <w:szCs w:val="28"/>
          <w:lang w:eastAsia="ru-RU"/>
        </w:rPr>
        <w:t>ю</w:t>
      </w:r>
      <w:r w:rsidRPr="009D040B">
        <w:rPr>
          <w:rFonts w:ascii="Times New Roman" w:hAnsi="Times New Roman"/>
          <w:sz w:val="28"/>
          <w:szCs w:val="28"/>
          <w:lang w:eastAsia="ru-RU"/>
        </w:rPr>
        <w:t>щую интересы потребителей и одновременно позволяющую активно развиват</w:t>
      </w:r>
      <w:r w:rsidRPr="009D040B">
        <w:rPr>
          <w:rFonts w:ascii="Times New Roman" w:hAnsi="Times New Roman"/>
          <w:sz w:val="28"/>
          <w:szCs w:val="28"/>
          <w:lang w:eastAsia="ru-RU"/>
        </w:rPr>
        <w:t>ь</w:t>
      </w:r>
      <w:r w:rsidRPr="009D040B">
        <w:rPr>
          <w:rFonts w:ascii="Times New Roman" w:hAnsi="Times New Roman"/>
          <w:sz w:val="28"/>
          <w:szCs w:val="28"/>
          <w:lang w:eastAsia="ru-RU"/>
        </w:rPr>
        <w:t>ся бизнесу, в том числе в отраслях, обеспечивающих удовлетворение основных жизненных потребностей горожан.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DA9">
        <w:rPr>
          <w:rFonts w:ascii="Times New Roman" w:hAnsi="Times New Roman"/>
          <w:sz w:val="28"/>
          <w:szCs w:val="28"/>
          <w:lang w:eastAsia="ru-RU"/>
        </w:rPr>
        <w:t>Субъекты естественных монополий присутствуют на рынке муниципал</w:t>
      </w:r>
      <w:r w:rsidRPr="005A7DA9">
        <w:rPr>
          <w:rFonts w:ascii="Times New Roman" w:hAnsi="Times New Roman"/>
          <w:sz w:val="28"/>
          <w:szCs w:val="28"/>
          <w:lang w:eastAsia="ru-RU"/>
        </w:rPr>
        <w:t>ь</w:t>
      </w:r>
      <w:r w:rsidRPr="005A7DA9">
        <w:rPr>
          <w:rFonts w:ascii="Times New Roman" w:hAnsi="Times New Roman"/>
          <w:sz w:val="28"/>
          <w:szCs w:val="28"/>
          <w:lang w:eastAsia="ru-RU"/>
        </w:rPr>
        <w:t>ного образования город Краснодар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7DA9">
        <w:rPr>
          <w:rFonts w:ascii="Times New Roman" w:hAnsi="Times New Roman"/>
          <w:sz w:val="28"/>
          <w:szCs w:val="28"/>
          <w:lang w:eastAsia="ru-RU"/>
        </w:rPr>
        <w:t xml:space="preserve"> в сфере водоснабжения и водоотведения с использованием централиз</w:t>
      </w:r>
      <w:r w:rsidRPr="005A7DA9">
        <w:rPr>
          <w:rFonts w:ascii="Times New Roman" w:hAnsi="Times New Roman"/>
          <w:sz w:val="28"/>
          <w:szCs w:val="28"/>
          <w:lang w:eastAsia="ru-RU"/>
        </w:rPr>
        <w:t>о</w:t>
      </w:r>
      <w:r w:rsidRPr="005A7DA9">
        <w:rPr>
          <w:rFonts w:ascii="Times New Roman" w:hAnsi="Times New Roman"/>
          <w:sz w:val="28"/>
          <w:szCs w:val="28"/>
          <w:lang w:eastAsia="ru-RU"/>
        </w:rPr>
        <w:t>ванных систем, систем коммунальной инфраструктуры, в отношении которых осуществляется государственное регулирование и контроль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A7D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6484">
        <w:rPr>
          <w:rFonts w:ascii="Times New Roman" w:hAnsi="Times New Roman"/>
          <w:sz w:val="28"/>
          <w:szCs w:val="28"/>
          <w:lang w:eastAsia="ru-RU"/>
        </w:rPr>
        <w:t>в топливно-энергетическом комплексе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транспорте; 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7DA9">
        <w:rPr>
          <w:rFonts w:ascii="Times New Roman" w:hAnsi="Times New Roman"/>
          <w:sz w:val="28"/>
          <w:szCs w:val="28"/>
          <w:lang w:eastAsia="ru-RU"/>
        </w:rPr>
        <w:t>в области свя</w:t>
      </w:r>
      <w:r>
        <w:rPr>
          <w:rFonts w:ascii="Times New Roman" w:hAnsi="Times New Roman"/>
          <w:sz w:val="28"/>
          <w:szCs w:val="28"/>
          <w:lang w:eastAsia="ru-RU"/>
        </w:rPr>
        <w:t>зи.</w:t>
      </w:r>
    </w:p>
    <w:p w:rsidR="00456115" w:rsidRPr="00FF7F78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F78">
        <w:rPr>
          <w:rFonts w:ascii="Times New Roman" w:hAnsi="Times New Roman"/>
          <w:sz w:val="28"/>
          <w:szCs w:val="28"/>
          <w:lang w:eastAsia="ru-RU"/>
        </w:rPr>
        <w:t>Информация о деятельности субъектов естественных монополий для о</w:t>
      </w:r>
      <w:r w:rsidRPr="00FF7F78">
        <w:rPr>
          <w:rFonts w:ascii="Times New Roman" w:hAnsi="Times New Roman"/>
          <w:sz w:val="28"/>
          <w:szCs w:val="28"/>
          <w:lang w:eastAsia="ru-RU"/>
        </w:rPr>
        <w:t>б</w:t>
      </w:r>
      <w:r w:rsidRPr="00FF7F78">
        <w:rPr>
          <w:rFonts w:ascii="Times New Roman" w:hAnsi="Times New Roman"/>
          <w:sz w:val="28"/>
          <w:szCs w:val="28"/>
          <w:lang w:eastAsia="ru-RU"/>
        </w:rPr>
        <w:t>щего сведения, предусмотренной к обязательному раскрытию размещена на официальных сайтах предприятий:</w:t>
      </w:r>
    </w:p>
    <w:p w:rsidR="00456115" w:rsidRPr="00FF7F78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F78">
        <w:rPr>
          <w:rFonts w:ascii="Times New Roman" w:hAnsi="Times New Roman"/>
          <w:sz w:val="28"/>
          <w:szCs w:val="28"/>
          <w:lang w:eastAsia="ru-RU"/>
        </w:rPr>
        <w:t>- о реализуемых и планируемых к реализации на территории муниц</w:t>
      </w:r>
      <w:r w:rsidRPr="00FF7F78">
        <w:rPr>
          <w:rFonts w:ascii="Times New Roman" w:hAnsi="Times New Roman"/>
          <w:sz w:val="28"/>
          <w:szCs w:val="28"/>
          <w:lang w:eastAsia="ru-RU"/>
        </w:rPr>
        <w:t>и</w:t>
      </w:r>
      <w:r w:rsidRPr="00FF7F78">
        <w:rPr>
          <w:rFonts w:ascii="Times New Roman" w:hAnsi="Times New Roman"/>
          <w:sz w:val="28"/>
          <w:szCs w:val="28"/>
          <w:lang w:eastAsia="ru-RU"/>
        </w:rPr>
        <w:t>пального образования инвестиционных проектах (программах);</w:t>
      </w:r>
    </w:p>
    <w:p w:rsidR="00456115" w:rsidRPr="00FF7F78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F7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 структуре тарифов на услуги,</w:t>
      </w:r>
      <w:r w:rsidRPr="00FF7F78">
        <w:rPr>
          <w:rFonts w:ascii="Times New Roman" w:hAnsi="Times New Roman"/>
          <w:sz w:val="28"/>
          <w:szCs w:val="28"/>
          <w:lang w:eastAsia="ru-RU"/>
        </w:rPr>
        <w:t xml:space="preserve"> параметрах качества и надежности предоставляемых товаров, работ и услуг и процедур предоставления товаров, работ и услуг потребителям;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F78">
        <w:rPr>
          <w:rFonts w:ascii="Times New Roman" w:hAnsi="Times New Roman"/>
          <w:sz w:val="28"/>
          <w:szCs w:val="28"/>
          <w:lang w:eastAsia="ru-RU"/>
        </w:rPr>
        <w:t xml:space="preserve">- иная информация о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FF7F78">
        <w:rPr>
          <w:rFonts w:ascii="Times New Roman" w:hAnsi="Times New Roman"/>
          <w:sz w:val="28"/>
          <w:szCs w:val="28"/>
          <w:lang w:eastAsia="ru-RU"/>
        </w:rPr>
        <w:t>, предусмотренная к обязательному раскрытию в соответствии с законодательством Российской Федерации.</w:t>
      </w: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115" w:rsidRPr="00B16F80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64A7">
        <w:rPr>
          <w:rFonts w:ascii="Times New Roman" w:hAnsi="Times New Roman"/>
          <w:sz w:val="28"/>
          <w:szCs w:val="28"/>
          <w:lang w:eastAsia="ru-RU"/>
        </w:rPr>
        <w:t>Таблица</w:t>
      </w:r>
      <w:r w:rsidR="007D1DBB" w:rsidRPr="003A6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4A7" w:rsidRPr="003A64A7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2A11AB">
        <w:rPr>
          <w:rFonts w:ascii="Times New Roman" w:hAnsi="Times New Roman"/>
          <w:sz w:val="28"/>
          <w:szCs w:val="28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3543"/>
      </w:tblGrid>
      <w:tr w:rsidR="00E810C1" w:rsidRPr="003A64A7" w:rsidTr="00E810C1">
        <w:trPr>
          <w:tblHeader/>
        </w:trPr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естественной моноп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лии</w:t>
            </w:r>
          </w:p>
        </w:tc>
        <w:tc>
          <w:tcPr>
            <w:tcW w:w="2127" w:type="dxa"/>
            <w:shd w:val="clear" w:color="auto" w:fill="auto"/>
          </w:tcPr>
          <w:p w:rsidR="00806E4C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рынка</w:t>
            </w:r>
          </w:p>
        </w:tc>
        <w:tc>
          <w:tcPr>
            <w:tcW w:w="3543" w:type="dxa"/>
            <w:shd w:val="clear" w:color="auto" w:fill="auto"/>
          </w:tcPr>
          <w:p w:rsidR="00806E4C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9" w:firstLine="1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обязательной</w:t>
            </w:r>
            <w:proofErr w:type="gramEnd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9" w:firstLine="1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к раскрытию информации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ООО «Лукойл-Кубаньэнерго» (Краснодарская ТЭЦ)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http://kubanenergo.lukoil.ru/ru/About/InformationExactedForPublication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ОАО «Автономная теплоэне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гетическая компания» (АТЭК)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http://oao-atek.ru/raskrytie-informatsii/index.php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ЗАО «Краснодарский нефт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перерабатывающий завод Краснодар-</w:t>
            </w:r>
            <w:proofErr w:type="spellStart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эконефть</w:t>
            </w:r>
            <w:proofErr w:type="spellEnd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06E4C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</w:t>
            </w:r>
          </w:p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http://knpz-ken.ru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http://kubanenergo.ru/aktsioneram-i-investoram/raskrytie-informatsii/godovye-otchety/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Краснодаргоргаз</w:t>
            </w:r>
            <w:proofErr w:type="spellEnd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http://www.krasnodargorgaz.ru/php/content/index.php?frame=2&amp;parent=12&amp;pg=predlogenie_schetchiki.htm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http://www.rostelecom.ru/about/disclosure/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нодар»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газа по трубопров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дам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http://www.gazprom.ru/investors/disclosure/reports/2015/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ОАО «РН-Краснодарнефтегаз»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газа по трубопров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дам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http://www.rosneft.ru/Investors/information/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ОАО «Кубань Экспресс-пригород»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железнодорожные перевозки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http://www.kuban-express-prigorod.ru/category/info/</w:t>
            </w:r>
          </w:p>
        </w:tc>
      </w:tr>
      <w:tr w:rsidR="00E810C1" w:rsidRPr="003A64A7" w:rsidTr="00E810C1">
        <w:tc>
          <w:tcPr>
            <w:tcW w:w="56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ОАО «Международный  аэр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порт «Краснодар»</w:t>
            </w:r>
          </w:p>
        </w:tc>
        <w:tc>
          <w:tcPr>
            <w:tcW w:w="2127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услуги аэропортов</w:t>
            </w:r>
          </w:p>
        </w:tc>
        <w:tc>
          <w:tcPr>
            <w:tcW w:w="3543" w:type="dxa"/>
            <w:shd w:val="clear" w:color="auto" w:fill="auto"/>
          </w:tcPr>
          <w:p w:rsidR="00E810C1" w:rsidRPr="003A64A7" w:rsidRDefault="00E810C1" w:rsidP="00AE053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sz w:val="24"/>
                <w:szCs w:val="24"/>
                <w:lang w:eastAsia="ru-RU"/>
              </w:rPr>
              <w:t>http://basel.aero/krasnodar/about-airport/information-disclosure/</w:t>
            </w:r>
          </w:p>
        </w:tc>
      </w:tr>
    </w:tbl>
    <w:p w:rsidR="00456115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0881">
        <w:rPr>
          <w:rFonts w:ascii="Times New Roman" w:hAnsi="Times New Roman"/>
          <w:sz w:val="28"/>
          <w:szCs w:val="28"/>
          <w:lang w:eastAsia="ru-RU"/>
        </w:rPr>
        <w:t>Контроль за соблюдением стандартов раскрытия информации, утве</w:t>
      </w:r>
      <w:r w:rsidRPr="001C0881">
        <w:rPr>
          <w:rFonts w:ascii="Times New Roman" w:hAnsi="Times New Roman"/>
          <w:sz w:val="28"/>
          <w:szCs w:val="28"/>
          <w:lang w:eastAsia="ru-RU"/>
        </w:rPr>
        <w:t>р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жденных постановлением Правительства от 30 декабря 2009 года № 1140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C0881">
        <w:rPr>
          <w:rFonts w:ascii="Times New Roman" w:hAnsi="Times New Roman"/>
          <w:sz w:val="28"/>
          <w:szCs w:val="28"/>
          <w:lang w:eastAsia="ru-RU"/>
        </w:rPr>
        <w:t>Об утверждении стандартов раскрытия информации организациями коммунальн</w:t>
      </w:r>
      <w:r w:rsidRPr="001C0881">
        <w:rPr>
          <w:rFonts w:ascii="Times New Roman" w:hAnsi="Times New Roman"/>
          <w:sz w:val="28"/>
          <w:szCs w:val="28"/>
          <w:lang w:eastAsia="ru-RU"/>
        </w:rPr>
        <w:t>о</w:t>
      </w:r>
      <w:r w:rsidRPr="001C0881">
        <w:rPr>
          <w:rFonts w:ascii="Times New Roman" w:hAnsi="Times New Roman"/>
          <w:sz w:val="28"/>
          <w:szCs w:val="28"/>
          <w:lang w:eastAsia="ru-RU"/>
        </w:rPr>
        <w:t>го комплекса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, осуществляется региональной энергетической комиссией 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C0881">
        <w:rPr>
          <w:rFonts w:ascii="Times New Roman" w:hAnsi="Times New Roman"/>
          <w:sz w:val="28"/>
          <w:szCs w:val="28"/>
          <w:lang w:eastAsia="ru-RU"/>
        </w:rPr>
        <w:t>д</w:t>
      </w:r>
      <w:r w:rsidRPr="001C0881">
        <w:rPr>
          <w:rFonts w:ascii="Times New Roman" w:hAnsi="Times New Roman"/>
          <w:sz w:val="28"/>
          <w:szCs w:val="28"/>
          <w:lang w:eastAsia="ru-RU"/>
        </w:rPr>
        <w:t>е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партаментом цен и тарифов Краснодарского края (РЭК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0881">
        <w:rPr>
          <w:rFonts w:ascii="Times New Roman" w:hAnsi="Times New Roman"/>
          <w:sz w:val="28"/>
          <w:szCs w:val="28"/>
          <w:lang w:eastAsia="ru-RU"/>
        </w:rPr>
        <w:t>ДЦиТ</w:t>
      </w:r>
      <w:proofErr w:type="spellEnd"/>
      <w:r w:rsidRPr="001C0881">
        <w:rPr>
          <w:rFonts w:ascii="Times New Roman" w:hAnsi="Times New Roman"/>
          <w:sz w:val="28"/>
          <w:szCs w:val="28"/>
          <w:lang w:eastAsia="ru-RU"/>
        </w:rPr>
        <w:t xml:space="preserve"> КК) на основ</w:t>
      </w:r>
      <w:r w:rsidRPr="001C0881">
        <w:rPr>
          <w:rFonts w:ascii="Times New Roman" w:hAnsi="Times New Roman"/>
          <w:sz w:val="28"/>
          <w:szCs w:val="28"/>
          <w:lang w:eastAsia="ru-RU"/>
        </w:rPr>
        <w:t>а</w:t>
      </w:r>
      <w:r w:rsidRPr="001C0881">
        <w:rPr>
          <w:rFonts w:ascii="Times New Roman" w:hAnsi="Times New Roman"/>
          <w:sz w:val="28"/>
          <w:szCs w:val="28"/>
          <w:lang w:eastAsia="ru-RU"/>
        </w:rPr>
        <w:t>нии постановления главы администрации Краснодарск</w:t>
      </w:r>
      <w:r>
        <w:rPr>
          <w:rFonts w:ascii="Times New Roman" w:hAnsi="Times New Roman"/>
          <w:sz w:val="28"/>
          <w:szCs w:val="28"/>
          <w:lang w:eastAsia="ru-RU"/>
        </w:rPr>
        <w:t>ого края от 14 июня 2002 № 652 «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О региональной энергетической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C0881">
        <w:rPr>
          <w:rFonts w:ascii="Times New Roman" w:hAnsi="Times New Roman"/>
          <w:sz w:val="28"/>
          <w:szCs w:val="28"/>
          <w:lang w:eastAsia="ru-RU"/>
        </w:rPr>
        <w:t xml:space="preserve"> департаменте цен и тар</w:t>
      </w:r>
      <w:r w:rsidRPr="001C088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фов Краснодарского края»</w:t>
      </w:r>
      <w:r w:rsidRPr="001C088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56115" w:rsidRDefault="00456115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40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город Краснодар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EC">
        <w:rPr>
          <w:rFonts w:ascii="Times New Roman" w:hAnsi="Times New Roman"/>
          <w:sz w:val="28"/>
          <w:szCs w:val="28"/>
          <w:lang w:eastAsia="ru-RU"/>
        </w:rPr>
        <w:t>в рамках переданных полномочий Законом Краснодарского края от 15.10.2010 № 2065-КЗ «О наделении органов местного самоуправления в Краснодарском крае о</w:t>
      </w:r>
      <w:r w:rsidRPr="008F0CEC">
        <w:rPr>
          <w:rFonts w:ascii="Times New Roman" w:hAnsi="Times New Roman"/>
          <w:sz w:val="28"/>
          <w:szCs w:val="28"/>
          <w:lang w:eastAsia="ru-RU"/>
        </w:rPr>
        <w:t>т</w:t>
      </w:r>
      <w:r w:rsidRPr="008F0CEC">
        <w:rPr>
          <w:rFonts w:ascii="Times New Roman" w:hAnsi="Times New Roman"/>
          <w:sz w:val="28"/>
          <w:szCs w:val="28"/>
          <w:lang w:eastAsia="ru-RU"/>
        </w:rPr>
        <w:t>дельными государственными полномочиями по регулированию тарифов орг</w:t>
      </w:r>
      <w:r w:rsidRPr="008F0CEC">
        <w:rPr>
          <w:rFonts w:ascii="Times New Roman" w:hAnsi="Times New Roman"/>
          <w:sz w:val="28"/>
          <w:szCs w:val="28"/>
          <w:lang w:eastAsia="ru-RU"/>
        </w:rPr>
        <w:t>а</w:t>
      </w:r>
      <w:r w:rsidRPr="008F0CEC">
        <w:rPr>
          <w:rFonts w:ascii="Times New Roman" w:hAnsi="Times New Roman"/>
          <w:sz w:val="28"/>
          <w:szCs w:val="28"/>
          <w:lang w:eastAsia="ru-RU"/>
        </w:rPr>
        <w:t xml:space="preserve">низаций коммунального комплекса»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9D040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D040B">
        <w:rPr>
          <w:rFonts w:ascii="Times New Roman" w:hAnsi="Times New Roman"/>
          <w:sz w:val="28"/>
          <w:szCs w:val="28"/>
          <w:lang w:eastAsia="ru-RU"/>
        </w:rPr>
        <w:t xml:space="preserve"> регулирования тарифов </w:t>
      </w:r>
      <w:r w:rsidRPr="009D040B">
        <w:rPr>
          <w:rFonts w:ascii="Times New Roman" w:hAnsi="Times New Roman"/>
          <w:sz w:val="28"/>
          <w:szCs w:val="28"/>
          <w:lang w:eastAsia="ru-RU"/>
        </w:rPr>
        <w:lastRenderedPageBreak/>
        <w:t>на услуги холодного водоснабжения, водоотведения и утилизации (захорон</w:t>
      </w:r>
      <w:r w:rsidRPr="009D040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ния) твердых бытовых отходов.</w:t>
      </w:r>
    </w:p>
    <w:p w:rsidR="00E7768B" w:rsidRDefault="00E7768B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56115" w:rsidRDefault="00456115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Оценка стоимости подключения к услугам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субъектов </w:t>
      </w:r>
      <w:r w:rsidRPr="004E4B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естественных </w:t>
      </w:r>
    </w:p>
    <w:p w:rsidR="00456115" w:rsidRPr="004E4BFD" w:rsidRDefault="00456115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монополий в </w:t>
      </w:r>
      <w:r w:rsidR="00BE00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муниципальном образовании город Краснодар</w:t>
      </w:r>
    </w:p>
    <w:p w:rsidR="00456115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115" w:rsidRDefault="00C91B84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8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8E1F4C" wp14:editId="3C5387CB">
            <wp:extent cx="6124575" cy="3152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525CE" w:rsidRDefault="00A525CE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Большинство хозяйствующих субъектов, столкнувши</w:t>
      </w:r>
      <w:r w:rsidR="001D3F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ся с процессом подключения к услугам субъектов естественных монополий в </w:t>
      </w:r>
      <w:r w:rsidR="00BE00F8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город Краснодар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, считают стоимость подключения высокой. 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Оценки «скорее высокая» и «высокая» в разрезе видов услуг поставили соответственно: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водоснабжение, водоотведение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227 и 483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газоснабжение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295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456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электроснабжение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286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468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телефонная связь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395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предпринимателя.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Оценки «скорее низкая» и «низкая» указали в разрезе видов услуг: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водоснабжение, водоотведение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газоснабжение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электроснабжение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208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теплоснабжение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- телефонная связь –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317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115" w:rsidRPr="006E122E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Порядка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числа участников анкетирования не смогли </w:t>
      </w:r>
      <w:r w:rsidR="006E122E">
        <w:rPr>
          <w:rFonts w:ascii="Times New Roman" w:eastAsia="Times New Roman" w:hAnsi="Times New Roman"/>
          <w:sz w:val="28"/>
          <w:szCs w:val="28"/>
          <w:lang w:eastAsia="ru-RU"/>
        </w:rPr>
        <w:t>оц</w:t>
      </w:r>
      <w:r w:rsidR="006E12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нить 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 w:rsidR="006E12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подключения к услуг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естественных монополий </w:t>
      </w:r>
      <w:r w:rsidR="006E122E" w:rsidRPr="006E122E">
        <w:rPr>
          <w:rFonts w:ascii="Times New Roman" w:eastAsia="Times New Roman" w:hAnsi="Times New Roman"/>
          <w:sz w:val="28"/>
          <w:szCs w:val="28"/>
          <w:lang w:eastAsia="ru-RU"/>
        </w:rPr>
        <w:t>в сфере водоснабжения и водоотведения города.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115" w:rsidRDefault="00456115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Кроме того, подключение к сетям естественных монополий – электр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энергии, водоснабжения и газоснабжения, теплосетям – по-прежнему остается большой проблемой для бизнеса. Отсутствие конкуренции создаёт благоприя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ную почву для всевозможных нарушений, самые распространённые из которых – незаконный отказ в выдаче технических условий на подключение к инжене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E122E">
        <w:rPr>
          <w:rFonts w:ascii="Times New Roman" w:eastAsia="Times New Roman" w:hAnsi="Times New Roman"/>
          <w:sz w:val="28"/>
          <w:szCs w:val="28"/>
          <w:lang w:eastAsia="ru-RU"/>
        </w:rPr>
        <w:t>ным сетям или необоснованное взимание платы за это подключение, а также затянутые сроки получения вышеуказанных услуг.</w:t>
      </w:r>
    </w:p>
    <w:p w:rsidR="00456115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56115" w:rsidRDefault="00456115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A78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жителями города </w:t>
      </w:r>
      <w:r w:rsidRPr="003A78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качества услуг </w:t>
      </w:r>
    </w:p>
    <w:p w:rsidR="00456115" w:rsidRPr="003A78B7" w:rsidRDefault="00456115" w:rsidP="00AC065C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A78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субъектов естественных монополий</w:t>
      </w:r>
    </w:p>
    <w:p w:rsidR="00456115" w:rsidRPr="006F27FF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115" w:rsidRPr="006F27FF" w:rsidRDefault="00A0552B" w:rsidP="00AC065C">
      <w:pPr>
        <w:tabs>
          <w:tab w:val="left" w:pos="0"/>
          <w:tab w:val="left" w:pos="1276"/>
          <w:tab w:val="left" w:pos="1418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52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B8D40C6" wp14:editId="24FAD774">
            <wp:extent cx="6120765" cy="3700002"/>
            <wp:effectExtent l="0" t="0" r="1333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56115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мониторинга качества услуг субъектов естественных моноп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лий</w:t>
      </w:r>
      <w:proofErr w:type="gramEnd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оценкам жителей города показал, что большинство участников опроса довольно высоко оценили качество водоснабжения, водоотведения, водоочис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ки, электроснабжения, теплоснабжения, газоснабжения и услуги телефонной связи. Оценки «удовлетворительно» и «скорее удовлетворительно» поставили по видам услуг: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водоснабжение, водоотведение – более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опрошенных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4006 и 1405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соответственно);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водоочистка –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более 66%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3644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1134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, соотве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ственно);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- газоснабжение –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порядка 87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5184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1072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, соо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ветственно);</w:t>
      </w:r>
    </w:p>
    <w:p w:rsidR="00456115" w:rsidRPr="006132FB" w:rsidRDefault="00456115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   - электроснабжение – более 82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опрошенных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4634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1291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соо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ветственно);</w:t>
      </w:r>
    </w:p>
    <w:p w:rsidR="00456115" w:rsidRPr="006132FB" w:rsidRDefault="00456115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теплоснабжение – около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4535 и 1204 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, соо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ветственно);</w:t>
      </w:r>
    </w:p>
    <w:p w:rsidR="00456115" w:rsidRPr="006132FB" w:rsidRDefault="00456115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телефонная связь –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86,5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опрошенных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5202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1029 человек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, соотве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ственно).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Наибольшее неудовлетворение выразили участники анкетирования кач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водоочистки –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более трети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граждан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2427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 Кач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ству услуг водоснабжения и водоотведения оценку «скорее неудовлетворител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но» и «неудовлетворительно» поставила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четвертая часть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опрошенных: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928 и 866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соответственно. Как «скорее неудовлетворительное» и «неудовл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творительное» оценили качество следующих видов услуг: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- газоснабжение –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чуть более 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потребителей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476 и 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с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ответственно);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- электроснабжение –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потребителей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735 и 545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соо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ветственно);</w:t>
      </w:r>
    </w:p>
    <w:p w:rsidR="00456115" w:rsidRPr="006132FB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- теплоснабжение – порядка 2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потребителей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726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740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соо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ветственно);</w:t>
      </w:r>
    </w:p>
    <w:p w:rsidR="00456115" w:rsidRDefault="00456115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- телефонную связь – чуть более 1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>% потребителей (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490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132FB" w:rsidRPr="006132FB">
        <w:rPr>
          <w:rFonts w:ascii="Times New Roman" w:eastAsia="Times New Roman" w:hAnsi="Times New Roman"/>
          <w:sz w:val="28"/>
          <w:szCs w:val="28"/>
          <w:lang w:eastAsia="ru-RU"/>
        </w:rPr>
        <w:t>484</w:t>
      </w:r>
      <w:r w:rsidRPr="006132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соответственно).</w:t>
      </w:r>
    </w:p>
    <w:p w:rsidR="00347A4F" w:rsidRDefault="00347A4F" w:rsidP="00AC065C">
      <w:pPr>
        <w:tabs>
          <w:tab w:val="left" w:pos="0"/>
          <w:tab w:val="left" w:pos="1276"/>
          <w:tab w:val="left" w:pos="1418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DBB" w:rsidRPr="001B5310" w:rsidRDefault="007D1DBB" w:rsidP="00AC065C">
      <w:pPr>
        <w:tabs>
          <w:tab w:val="left" w:pos="0"/>
          <w:tab w:val="left" w:pos="1276"/>
          <w:tab w:val="left" w:pos="1418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310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 деятельности хозяйствующих субъектов, доля участия мун</w:t>
      </w:r>
      <w:r w:rsidRPr="001B531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1B5310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образования в которых составляет 50% и более.</w:t>
      </w:r>
    </w:p>
    <w:p w:rsidR="007D1DBB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1DBB" w:rsidRPr="001D3FE7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310">
        <w:rPr>
          <w:rFonts w:ascii="Times New Roman" w:hAnsi="Times New Roman"/>
          <w:sz w:val="28"/>
          <w:szCs w:val="28"/>
          <w:lang w:eastAsia="ru-RU"/>
        </w:rPr>
        <w:t>В муниципальном образовании город Краснодар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01.01.2015 осуществляли деятельность 37 </w:t>
      </w:r>
      <w:r w:rsidRPr="001D3FE7">
        <w:rPr>
          <w:rFonts w:ascii="Times New Roman" w:hAnsi="Times New Roman"/>
          <w:sz w:val="28"/>
          <w:szCs w:val="28"/>
          <w:lang w:eastAsia="ru-RU"/>
        </w:rPr>
        <w:t>муниципальных унитарных предпр</w:t>
      </w:r>
      <w:r w:rsidRPr="001D3FE7">
        <w:rPr>
          <w:rFonts w:ascii="Times New Roman" w:hAnsi="Times New Roman"/>
          <w:sz w:val="28"/>
          <w:szCs w:val="28"/>
          <w:lang w:eastAsia="ru-RU"/>
        </w:rPr>
        <w:t>и</w:t>
      </w:r>
      <w:r w:rsidRPr="001D3FE7">
        <w:rPr>
          <w:rFonts w:ascii="Times New Roman" w:hAnsi="Times New Roman"/>
          <w:sz w:val="28"/>
          <w:szCs w:val="28"/>
          <w:lang w:eastAsia="ru-RU"/>
        </w:rPr>
        <w:t xml:space="preserve">ятий, по состоянию на 01.01.2016 – 36 единиц. По состоянию на 01.01.2017 </w:t>
      </w:r>
      <w:r w:rsidR="001D3FE7" w:rsidRPr="001D3FE7">
        <w:rPr>
          <w:rFonts w:ascii="Times New Roman" w:hAnsi="Times New Roman"/>
          <w:sz w:val="28"/>
          <w:szCs w:val="28"/>
          <w:lang w:eastAsia="ru-RU"/>
        </w:rPr>
        <w:t>– 34 единицы.</w:t>
      </w:r>
    </w:p>
    <w:p w:rsidR="007D1DBB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</w:t>
      </w:r>
      <w:r w:rsidRPr="00B16F80">
        <w:rPr>
          <w:rFonts w:ascii="Times New Roman" w:hAnsi="Times New Roman"/>
          <w:sz w:val="28"/>
          <w:szCs w:val="28"/>
          <w:lang w:eastAsia="ru-RU"/>
        </w:rPr>
        <w:t xml:space="preserve">муниципальных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>по о</w:t>
      </w:r>
      <w:r w:rsidRPr="00B16F80">
        <w:rPr>
          <w:rFonts w:ascii="Times New Roman" w:hAnsi="Times New Roman"/>
          <w:sz w:val="28"/>
          <w:szCs w:val="28"/>
          <w:lang w:eastAsia="ru-RU"/>
        </w:rPr>
        <w:t>траслев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6F80">
        <w:rPr>
          <w:rFonts w:ascii="Times New Roman" w:hAnsi="Times New Roman"/>
          <w:sz w:val="28"/>
          <w:szCs w:val="28"/>
          <w:lang w:eastAsia="ru-RU"/>
        </w:rPr>
        <w:t xml:space="preserve"> принадлежност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6F80">
        <w:rPr>
          <w:rFonts w:ascii="Times New Roman" w:hAnsi="Times New Roman"/>
          <w:sz w:val="28"/>
          <w:szCs w:val="28"/>
          <w:lang w:eastAsia="ru-RU"/>
        </w:rPr>
        <w:t xml:space="preserve"> представлена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3A64A7">
        <w:rPr>
          <w:rFonts w:ascii="Times New Roman" w:hAnsi="Times New Roman"/>
          <w:sz w:val="28"/>
          <w:szCs w:val="28"/>
          <w:lang w:eastAsia="ru-RU"/>
        </w:rPr>
        <w:t>диаграмме и в таблице (в</w:t>
      </w:r>
      <w:r>
        <w:rPr>
          <w:rFonts w:ascii="Times New Roman" w:hAnsi="Times New Roman"/>
          <w:sz w:val="28"/>
          <w:szCs w:val="28"/>
          <w:lang w:eastAsia="ru-RU"/>
        </w:rPr>
        <w:t xml:space="preserve"> динамике по годам)</w:t>
      </w:r>
      <w:r w:rsidRPr="00B16F80">
        <w:rPr>
          <w:rFonts w:ascii="Times New Roman" w:hAnsi="Times New Roman"/>
          <w:sz w:val="28"/>
          <w:szCs w:val="28"/>
          <w:lang w:eastAsia="ru-RU"/>
        </w:rPr>
        <w:t>.</w:t>
      </w:r>
    </w:p>
    <w:p w:rsidR="007D1DBB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68B" w:rsidRDefault="00E7768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DBB" w:rsidRPr="00CC4ADB" w:rsidRDefault="007D1DBB" w:rsidP="00AC065C">
      <w:pPr>
        <w:tabs>
          <w:tab w:val="left" w:pos="0"/>
          <w:tab w:val="left" w:pos="1276"/>
          <w:tab w:val="left" w:pos="1418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4A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Отраслевая структура муниципальных унитарных предприятий</w:t>
      </w:r>
    </w:p>
    <w:p w:rsidR="007D1DBB" w:rsidRPr="00B16F80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DBB" w:rsidRDefault="007D1DBB" w:rsidP="00AC065C">
      <w:pPr>
        <w:tabs>
          <w:tab w:val="left" w:pos="709"/>
        </w:tabs>
        <w:spacing w:after="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62849CB" wp14:editId="12A3C39F">
            <wp:extent cx="6167120" cy="3763645"/>
            <wp:effectExtent l="0" t="0" r="24130" b="2730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D1DBB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1DBB" w:rsidRDefault="007D1DBB" w:rsidP="00AC065C">
      <w:pPr>
        <w:tabs>
          <w:tab w:val="left" w:pos="709"/>
        </w:tabs>
        <w:spacing w:after="0" w:line="276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64A7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134"/>
        <w:gridCol w:w="1133"/>
        <w:gridCol w:w="1134"/>
        <w:gridCol w:w="1416"/>
      </w:tblGrid>
      <w:tr w:rsidR="007D1DBB" w:rsidRPr="00607DD8" w:rsidTr="000F1BF1">
        <w:trPr>
          <w:trHeight w:val="1172"/>
          <w:tblHeader/>
        </w:trPr>
        <w:tc>
          <w:tcPr>
            <w:tcW w:w="426" w:type="dxa"/>
            <w:vMerge w:val="restart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Отраслевая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унитарных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2268" w:type="dxa"/>
            <w:gridSpan w:val="2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унита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предприятий,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7" w:type="dxa"/>
            <w:gridSpan w:val="2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зации товаров (р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бот, услуг),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416" w:type="dxa"/>
            <w:vMerge w:val="restart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left="-109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Доля выру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</w:t>
            </w:r>
          </w:p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left="-109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величине стоимостного оборота ры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1DBB" w:rsidRPr="00607DD8" w:rsidTr="000F1BF1">
        <w:trPr>
          <w:tblHeader/>
        </w:trPr>
        <w:tc>
          <w:tcPr>
            <w:tcW w:w="426" w:type="dxa"/>
            <w:vMerge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на 01.01.201</w:t>
            </w:r>
            <w:r w:rsidR="007B34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на 01.01.201</w:t>
            </w:r>
            <w:r w:rsidR="007B34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7B34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7B34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vMerge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архитектуры и град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жилищно-коммунального хозяйства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551,9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610,7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 xml:space="preserve">Сфера транспорта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доро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ж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5239C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  <w:r w:rsidR="005239C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 xml:space="preserve">Сфера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хозя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й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D1DBB" w:rsidRPr="00607DD8" w:rsidTr="000F1BF1">
        <w:trPr>
          <w:trHeight w:hRule="exact" w:val="284"/>
        </w:trPr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здравоохранения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D1DBB" w:rsidRPr="00607DD8" w:rsidTr="000F1BF1">
        <w:trPr>
          <w:trHeight w:hRule="exact" w:val="284"/>
        </w:trPr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культуры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 xml:space="preserve">Сфера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полит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физической культуры и спорта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7D1DBB" w:rsidRPr="00607DD8" w:rsidTr="000F1BF1">
        <w:trPr>
          <w:trHeight w:hRule="exact" w:val="284"/>
        </w:trPr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торговли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right="-108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общественного пит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496,6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560,7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7D1DBB" w:rsidRPr="00607DD8" w:rsidTr="000F1BF1"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right="-108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Сфера 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у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 xml:space="preserve">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07DD8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</w:tcPr>
          <w:p w:rsidR="007D1DBB" w:rsidRPr="00607DD8" w:rsidRDefault="005239C4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1DBB" w:rsidRPr="00607DD8" w:rsidTr="000F1BF1">
        <w:trPr>
          <w:trHeight w:hRule="exact" w:val="284"/>
        </w:trPr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right="-108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D1DBB" w:rsidRPr="00607DD8" w:rsidTr="000F1BF1">
        <w:trPr>
          <w:trHeight w:hRule="exact" w:val="284"/>
        </w:trPr>
        <w:tc>
          <w:tcPr>
            <w:tcW w:w="426" w:type="dxa"/>
            <w:shd w:val="clear" w:color="auto" w:fill="auto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ind w:right="-108"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DD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D1DBB" w:rsidRPr="00607DD8" w:rsidRDefault="007D1DBB" w:rsidP="0038567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D1DBB" w:rsidRPr="00607DD8" w:rsidRDefault="007D1DBB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D8">
              <w:rPr>
                <w:rFonts w:ascii="Times New Roman" w:hAnsi="Times New Roman"/>
                <w:sz w:val="24"/>
                <w:szCs w:val="24"/>
              </w:rPr>
              <w:t>3</w:t>
            </w:r>
            <w:r w:rsidR="007B3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3689,2</w:t>
            </w:r>
          </w:p>
        </w:tc>
        <w:tc>
          <w:tcPr>
            <w:tcW w:w="1134" w:type="dxa"/>
          </w:tcPr>
          <w:p w:rsidR="007D1DBB" w:rsidRPr="00607DD8" w:rsidRDefault="007B347F" w:rsidP="003856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  <w:tc>
          <w:tcPr>
            <w:tcW w:w="1416" w:type="dxa"/>
          </w:tcPr>
          <w:p w:rsidR="007D1DBB" w:rsidRPr="00607DD8" w:rsidRDefault="007D1DBB" w:rsidP="00385675">
            <w:pPr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D1DBB" w:rsidRDefault="007D1DBB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DBB" w:rsidRPr="00F2095F" w:rsidRDefault="007D1DBB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Выручка от реализации товаров (работ и услуг) по итогам 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3802,5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миллиона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10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относительно 201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(за 201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выручка от реализации т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варов (работ и услуг)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239C4">
        <w:rPr>
          <w:rFonts w:ascii="Times New Roman" w:eastAsia="Times New Roman" w:hAnsi="Times New Roman"/>
          <w:sz w:val="28"/>
          <w:szCs w:val="28"/>
          <w:lang w:eastAsia="ru-RU"/>
        </w:rPr>
        <w:t>3689,2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миллиона</w:t>
      </w: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</w:t>
      </w:r>
    </w:p>
    <w:p w:rsidR="007D1DBB" w:rsidRPr="00F2095F" w:rsidRDefault="007D1DBB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95F">
        <w:rPr>
          <w:rFonts w:ascii="Times New Roman" w:eastAsia="Times New Roman" w:hAnsi="Times New Roman"/>
          <w:sz w:val="28"/>
          <w:szCs w:val="28"/>
          <w:lang w:eastAsia="ru-RU"/>
        </w:rPr>
        <w:t>Отраслевая структура выручки характеризуется следующим образом.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выручки от реализации товаров (работ и </w:t>
      </w:r>
      <w:proofErr w:type="gramStart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ус-луг</w:t>
      </w:r>
      <w:proofErr w:type="gramEnd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) в 2015 году приходится на предприятия, осуществляющие деятельность в сфере транспорта и дорожного хозяйства. Данная тенденция сохраняется с 2013 года. Количество муниципальных унитарных предприятий этой  сферы де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за анализируемые годы не </w:t>
      </w:r>
      <w:proofErr w:type="gramStart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изменилось и составило</w:t>
      </w:r>
      <w:proofErr w:type="gramEnd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3 предприятия. При этом выручка по итогам работы за 2015 год </w:t>
      </w:r>
      <w:proofErr w:type="gramStart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2225,3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возросла</w:t>
      </w:r>
      <w:proofErr w:type="gramEnd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2014 годом на 0,9 процента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ручка составляла 2204,6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 Доля выручки предприятий данной сферы деятельности в общем объёме выручки муниципального сектора экон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мики в 2015 году достигла 58,5  процента против 59,8 процента в 2014 году.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В сфере жилищно-коммунального хозяйства в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 и в 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ду,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функционировало 16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ципальных унитарных предприятий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. Выручка от реализации товаров (работ и услуг) за 2015 год составила 610,7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в 2014 году – 551,9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Абсолютное значение показателя возросло на 58,8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или на 10,7 процента. Доля выручки данных предприятий в общем объёме выручки муниципальных унитарных предприятий за 2015 год составила 16,1 процента.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Выручка от реализации товаров (работ и услуг) двух муниципальных унитарных предприятий, оказывающих услуги в сфере общественного питания, за 2015 год составила 560,7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против 496,6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за 2014 год. Доля выручки в общем объёме 2015 года по сравнению с уровнем 2014 года </w:t>
      </w:r>
      <w:proofErr w:type="gramStart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возросла на 1,2 процента и составила</w:t>
      </w:r>
      <w:proofErr w:type="gramEnd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14,7 процента.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Количество муниципальных унитарных предприятий в сфере культуры составляло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единицы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. Выручка от реализации товаров (работ и услуг) данных предприятий в 2015 году составила 176,5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миллиона 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ка составляла 197,5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муниципальных унитарных предприятий в сфере торговли составляло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единицы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Объём выручки от реализации товаров (работ и услуг) в 2015 году </w:t>
      </w:r>
      <w:proofErr w:type="gramStart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70,9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увеличился</w:t>
      </w:r>
      <w:proofErr w:type="gramEnd"/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2014 годом на 16,3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выручка составляла 54,6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Выручка от реализации товаров (работ и услуг) двух муниципальных унитарных предприятий, оказывающих услуги в сфере сельского хозяйства, за 2015 год составила 52,2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против 30,8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в сфере бытового обслуживания населения деятельность осуществляло одно предприятие. Выручка от реализации товаров (работ и услуг) в 2015 году составляла 3,4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2014 году – 3,6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CB6D97" w:rsidRPr="00CB6D97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09" w:rsidRPr="00557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66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2015 годах в сфере молодёжной политики оказывало услуги о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но муниципальное унитарное предприятие. Удельный вес выручки от реализ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товаров (работ и услуг) в общем объёме выручки муниципального сектора экономики данного предприятия  составил 0,1 процента.  Абсолютное значение данного показателя в 2015 году – 5,4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D1DBB" w:rsidRDefault="00CB6D97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В сфере физической культуры и спорта в 2014-2015 годах функционир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вало одно муниципальное унитарное предприятие, выручка от реализации т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варов (работ и услуг) которого за 2015 год составила 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2014 год </w:t>
      </w:r>
      <w:r w:rsidR="00766F09" w:rsidRPr="00557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1,6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миллиона</w:t>
      </w:r>
      <w:r w:rsidRPr="00CB6D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DF0934" w:rsidRPr="00DF0934" w:rsidRDefault="00DF0934" w:rsidP="00AC065C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постановления главы муниципального образования город Краснодар от 20.02.2013 № 1427 «Об утверждении Порядка представл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ния интересов муниципального образования город Краснодар в органах упра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ления и ревизионных комиссиях хозяйственных обществ, акции (доли) которых находятся в муниципальной собственности муниципального образования город Краснодар, и управления находящимися в муниципальной собственности акц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ями (долями) хозяйственных обществ» реализуются меры  по мониторингу с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блюдения корпоративного законодательства Российской Федерации, анализу</w:t>
      </w:r>
      <w:proofErr w:type="gramEnd"/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хозяйственной деятельности, </w:t>
      </w:r>
      <w:proofErr w:type="gramStart"/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повышением качества структуры баланса хозяйственных обществ, доля участия муниципального о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0934">
        <w:rPr>
          <w:rFonts w:ascii="Times New Roman" w:eastAsia="Times New Roman" w:hAnsi="Times New Roman"/>
          <w:sz w:val="28"/>
          <w:szCs w:val="28"/>
          <w:lang w:eastAsia="ru-RU"/>
        </w:rPr>
        <w:t>разования в которых составляет 50 и более процентов.</w:t>
      </w:r>
    </w:p>
    <w:p w:rsidR="00DF0934" w:rsidRDefault="00DF0934" w:rsidP="00AC065C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0934">
        <w:rPr>
          <w:rFonts w:ascii="Times New Roman" w:hAnsi="Times New Roman"/>
          <w:sz w:val="28"/>
          <w:szCs w:val="28"/>
        </w:rPr>
        <w:tab/>
        <w:t>В 2017-2018 годах приватизация хозяйственных обществ и муниципал</w:t>
      </w:r>
      <w:r w:rsidRPr="00DF0934">
        <w:rPr>
          <w:rFonts w:ascii="Times New Roman" w:hAnsi="Times New Roman"/>
          <w:sz w:val="28"/>
          <w:szCs w:val="28"/>
        </w:rPr>
        <w:t>ь</w:t>
      </w:r>
      <w:r w:rsidRPr="00DF0934">
        <w:rPr>
          <w:rFonts w:ascii="Times New Roman" w:hAnsi="Times New Roman"/>
          <w:sz w:val="28"/>
          <w:szCs w:val="28"/>
        </w:rPr>
        <w:t>ных предприятий с муниципальным участием не планируется.</w:t>
      </w:r>
    </w:p>
    <w:p w:rsidR="004C30F6" w:rsidRDefault="004C30F6" w:rsidP="00AC065C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Результаты опроса хозяйствующих субъектов по итогам 2016 года пок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зали, что около 40% предпринимателей осуществляют деятельность в условиях умеренной конку</w:t>
      </w:r>
      <w:r w:rsidR="00473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ренции, еще 28% </w:t>
      </w:r>
      <w:r w:rsidR="00766F09" w:rsidRPr="00557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 высокой конкуренции, более 20% принявших участие в опросе уверены, что конкуренция создает стимулы для развития и расширения бизнеса на рынке, треть опрошенных считает, что иногда да, иногда нет, и лишь 8,5% предпринимателей не согласны с данным утверждением. Наиболее важную роль в обеспечении конкурентоспособности продукции на рынке, по оценкам предпринимателей, играет высокое качество предлагаемой продукции/работ/услуг (порядка 30% опрошенных) и ее низкая цена (около 26% опрошенных). </w:t>
      </w:r>
    </w:p>
    <w:p w:rsidR="008A4547" w:rsidRDefault="004C30F6" w:rsidP="00AC06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каждое предприятие сталкивается с теми или иными видами административных барьеров. Основными барьерами, меша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щими осуществлению предпринимательской деятельности, являются высокие налоги (отметили более 500 человек) и ограниченный доступ к финансовым р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сурсам вследствие их высокой стоимости (более 300 человек). Кроме того, би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нес также сталкивается с такими барьерами, как: недостаток квалифицирова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ных кадров (указали 255 человек), сложность/ затянутость процедуры получ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ния разрешений/ лицензий (172 человека), сложность получения доступа к з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мельным участкам (столкнулись 154 человека), нестабильность российского з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конодательства в отношении регулирования деятельности предприятий (отм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тили 149 человек), высокие транспортные и логистические издержки (146 чел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4547">
        <w:rPr>
          <w:rFonts w:ascii="Times New Roman" w:eastAsia="Times New Roman" w:hAnsi="Times New Roman"/>
          <w:sz w:val="28"/>
          <w:szCs w:val="28"/>
          <w:lang w:eastAsia="ru-RU"/>
        </w:rPr>
        <w:t>век). Негативно сказывается на бизнесе и давление со стороны конкурентов и конкуренция со стороны теневого бизнеса, процедуры получения разрешений на строительство и неразвитость транспортной сети.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муниципального образования город Краснодар с целью развития 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конкурентной сре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 на рынках товаров и услуг города на постоянной основе выполняются мероприятия по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сокращени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административных барьеров, исключени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фактов де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ствий, направленных на ограничение конкуренции;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внедрени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электронных технологий, направленных на автоматизацию и упрощение взаимодействия участников рынка с регулирующими органами;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муниципального заказа, о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прозрачности процедур распределения муниципальных ресурсов;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предпринимательства;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межрегионального сотрудничества;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сокращени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барьеров входа на рынок в разрезе отраслей; </w:t>
      </w:r>
    </w:p>
    <w:p w:rsidR="00BC44D1" w:rsidRPr="00B814A0" w:rsidRDefault="00BC44D1" w:rsidP="00AC065C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8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конкурентных преимуществ отдельных отраслей экономики.</w:t>
      </w:r>
    </w:p>
    <w:p w:rsidR="004C4DE5" w:rsidRDefault="004C4DE5" w:rsidP="00AC065C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 4,5 раза снизилось количество предпринимат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лей, недовольных деятельностью органов власти на их целевом рынке, и почти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5 раз увеличилось количество хозяйствующих субъектов, отметивших, что органы власти помогают бизнесу своими действиями. </w:t>
      </w:r>
    </w:p>
    <w:p w:rsidR="004C4DE5" w:rsidRDefault="004C4DE5" w:rsidP="00AC065C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итогов повторно проведенного опроса жителей города в ноябре 2016 года показал рост активной гражданской позиции населения города по сравнению с январем: численность населения, принявшего участие в анкетир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вании, возросла почти в 5,5 раз: с 1320 до 7205</w:t>
      </w:r>
      <w:r w:rsidRPr="00777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И, по-прежнему, </w:t>
      </w:r>
      <w:r w:rsidRPr="00BE028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активными участниками 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</w:t>
      </w:r>
      <w:r w:rsidRPr="00BE0288">
        <w:rPr>
          <w:rFonts w:ascii="Times New Roman" w:eastAsia="Times New Roman" w:hAnsi="Times New Roman"/>
          <w:sz w:val="28"/>
          <w:szCs w:val="28"/>
          <w:lang w:eastAsia="ru-RU"/>
        </w:rPr>
        <w:t>ются женщины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граждане в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 от 21 до 35 лет. На 8% возросло количество граждан, принявших участие в опросе, в возрасте от 35 до 50 лет. </w:t>
      </w:r>
    </w:p>
    <w:p w:rsidR="004C4DE5" w:rsidRDefault="004C4DE5" w:rsidP="001D3FE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оценке характеристик товаров и услуг на социально-значимых и приоритетных рынках города в ноябре 2016 года большинство граждан – участников опроса (более 80%)</w:t>
      </w:r>
      <w:r w:rsidR="001D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 удовлетворены либо скорее уд</w:t>
      </w: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влетворены характеристиками товаров и услуг, предлагаемых на рынках. Кол</w:t>
      </w: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C4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чество опрошенных граждан, высоко оценивших характеристики товаров и услуг на рынках, по сравнению с январем 2016 года возросло на 10%.</w:t>
      </w:r>
    </w:p>
    <w:p w:rsidR="004C30F6" w:rsidRDefault="004C30F6" w:rsidP="00AC065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администрации муниципального образования город Краснодар и в дальнейшем будет направлена на создание оптимальных условий для развития конкуренции в отраслях экономики города.</w:t>
      </w:r>
    </w:p>
    <w:p w:rsidR="00BC44D1" w:rsidRPr="00C73B97" w:rsidRDefault="00BC44D1" w:rsidP="00AC065C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C44D1" w:rsidRPr="00C73B97" w:rsidSect="001B08E1">
      <w:headerReference w:type="default" r:id="rId5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4" w:rsidRDefault="00C37054" w:rsidP="001B08E1">
      <w:pPr>
        <w:spacing w:after="0" w:line="240" w:lineRule="auto"/>
      </w:pPr>
      <w:r>
        <w:separator/>
      </w:r>
    </w:p>
  </w:endnote>
  <w:endnote w:type="continuationSeparator" w:id="0">
    <w:p w:rsidR="00C37054" w:rsidRDefault="00C37054" w:rsidP="001B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4" w:rsidRDefault="00C37054" w:rsidP="001B08E1">
      <w:pPr>
        <w:spacing w:after="0" w:line="240" w:lineRule="auto"/>
      </w:pPr>
      <w:r>
        <w:separator/>
      </w:r>
    </w:p>
  </w:footnote>
  <w:footnote w:type="continuationSeparator" w:id="0">
    <w:p w:rsidR="00C37054" w:rsidRDefault="00C37054" w:rsidP="001B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67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07B7" w:rsidRPr="001B08E1" w:rsidRDefault="008707B7">
        <w:pPr>
          <w:pStyle w:val="a8"/>
          <w:jc w:val="center"/>
          <w:rPr>
            <w:sz w:val="28"/>
            <w:szCs w:val="28"/>
          </w:rPr>
        </w:pPr>
        <w:r w:rsidRPr="001B08E1">
          <w:rPr>
            <w:rFonts w:ascii="Times New Roman" w:hAnsi="Times New Roman"/>
            <w:sz w:val="28"/>
            <w:szCs w:val="28"/>
          </w:rPr>
          <w:fldChar w:fldCharType="begin"/>
        </w:r>
        <w:r w:rsidRPr="001B08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B08E1">
          <w:rPr>
            <w:rFonts w:ascii="Times New Roman" w:hAnsi="Times New Roman"/>
            <w:sz w:val="28"/>
            <w:szCs w:val="28"/>
          </w:rPr>
          <w:fldChar w:fldCharType="separate"/>
        </w:r>
        <w:r w:rsidR="00E7768B">
          <w:rPr>
            <w:rFonts w:ascii="Times New Roman" w:hAnsi="Times New Roman"/>
            <w:noProof/>
            <w:sz w:val="28"/>
            <w:szCs w:val="28"/>
          </w:rPr>
          <w:t>53</w:t>
        </w:r>
        <w:r w:rsidRPr="001B08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6FD"/>
    <w:multiLevelType w:val="multilevel"/>
    <w:tmpl w:val="AE7AF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3B9F"/>
    <w:multiLevelType w:val="multilevel"/>
    <w:tmpl w:val="1BF2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08DB"/>
    <w:multiLevelType w:val="multilevel"/>
    <w:tmpl w:val="AF2A5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80" w:hanging="2160"/>
      </w:pPr>
      <w:rPr>
        <w:rFonts w:hint="default"/>
      </w:rPr>
    </w:lvl>
  </w:abstractNum>
  <w:abstractNum w:abstractNumId="4">
    <w:nsid w:val="192138E4"/>
    <w:multiLevelType w:val="multilevel"/>
    <w:tmpl w:val="6786E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AD02FF"/>
    <w:multiLevelType w:val="multilevel"/>
    <w:tmpl w:val="FAC4E180"/>
    <w:lvl w:ilvl="0">
      <w:start w:val="3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287A18EE"/>
    <w:multiLevelType w:val="hybridMultilevel"/>
    <w:tmpl w:val="0E26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7436"/>
    <w:multiLevelType w:val="multilevel"/>
    <w:tmpl w:val="16AABA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2E70643"/>
    <w:multiLevelType w:val="multilevel"/>
    <w:tmpl w:val="AE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739F8"/>
    <w:multiLevelType w:val="hybridMultilevel"/>
    <w:tmpl w:val="A0AC826A"/>
    <w:lvl w:ilvl="0" w:tplc="F2741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11B90"/>
    <w:multiLevelType w:val="hybridMultilevel"/>
    <w:tmpl w:val="DF66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50404"/>
    <w:multiLevelType w:val="multilevel"/>
    <w:tmpl w:val="D0E6A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>
    <w:nsid w:val="47096B16"/>
    <w:multiLevelType w:val="multilevel"/>
    <w:tmpl w:val="9C9A3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3">
    <w:nsid w:val="47D041B6"/>
    <w:multiLevelType w:val="hybridMultilevel"/>
    <w:tmpl w:val="9550B086"/>
    <w:lvl w:ilvl="0" w:tplc="8C5E79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A27F7"/>
    <w:multiLevelType w:val="multilevel"/>
    <w:tmpl w:val="D14CD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516146C8"/>
    <w:multiLevelType w:val="multilevel"/>
    <w:tmpl w:val="631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D5439"/>
    <w:multiLevelType w:val="hybridMultilevel"/>
    <w:tmpl w:val="D198639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40911"/>
    <w:multiLevelType w:val="multilevel"/>
    <w:tmpl w:val="BFACE3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03C35D5"/>
    <w:multiLevelType w:val="multilevel"/>
    <w:tmpl w:val="EFC0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9">
    <w:nsid w:val="6F5610C3"/>
    <w:multiLevelType w:val="multilevel"/>
    <w:tmpl w:val="BAD62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18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10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5"/>
    <w:rsid w:val="0000753C"/>
    <w:rsid w:val="00013FBA"/>
    <w:rsid w:val="000167E8"/>
    <w:rsid w:val="00026925"/>
    <w:rsid w:val="00027DBD"/>
    <w:rsid w:val="00065351"/>
    <w:rsid w:val="00070AD9"/>
    <w:rsid w:val="00071219"/>
    <w:rsid w:val="00094F21"/>
    <w:rsid w:val="000A7182"/>
    <w:rsid w:val="000B064E"/>
    <w:rsid w:val="000B1795"/>
    <w:rsid w:val="000B2E31"/>
    <w:rsid w:val="000B51CE"/>
    <w:rsid w:val="000B54F6"/>
    <w:rsid w:val="000C3F3A"/>
    <w:rsid w:val="000E7059"/>
    <w:rsid w:val="000F1BF1"/>
    <w:rsid w:val="0010104B"/>
    <w:rsid w:val="00122572"/>
    <w:rsid w:val="00122852"/>
    <w:rsid w:val="001254EA"/>
    <w:rsid w:val="00127935"/>
    <w:rsid w:val="00146088"/>
    <w:rsid w:val="001579CF"/>
    <w:rsid w:val="00185A30"/>
    <w:rsid w:val="00195B29"/>
    <w:rsid w:val="001B04E3"/>
    <w:rsid w:val="001B08E1"/>
    <w:rsid w:val="001C2E53"/>
    <w:rsid w:val="001C5439"/>
    <w:rsid w:val="001C7364"/>
    <w:rsid w:val="001D3FE7"/>
    <w:rsid w:val="001D7AA2"/>
    <w:rsid w:val="0023329A"/>
    <w:rsid w:val="002570BE"/>
    <w:rsid w:val="00271B31"/>
    <w:rsid w:val="002772DA"/>
    <w:rsid w:val="0028464E"/>
    <w:rsid w:val="00286A45"/>
    <w:rsid w:val="00287F3B"/>
    <w:rsid w:val="002A11AB"/>
    <w:rsid w:val="002D370C"/>
    <w:rsid w:val="002E7F48"/>
    <w:rsid w:val="003032BD"/>
    <w:rsid w:val="003124E1"/>
    <w:rsid w:val="003235ED"/>
    <w:rsid w:val="00347A4F"/>
    <w:rsid w:val="00350173"/>
    <w:rsid w:val="00354583"/>
    <w:rsid w:val="00375B9A"/>
    <w:rsid w:val="00385675"/>
    <w:rsid w:val="003903A0"/>
    <w:rsid w:val="003A1FFD"/>
    <w:rsid w:val="003A64A7"/>
    <w:rsid w:val="003D0C31"/>
    <w:rsid w:val="003D3234"/>
    <w:rsid w:val="00421068"/>
    <w:rsid w:val="00423058"/>
    <w:rsid w:val="00427D49"/>
    <w:rsid w:val="0043073A"/>
    <w:rsid w:val="00446055"/>
    <w:rsid w:val="00456115"/>
    <w:rsid w:val="00461488"/>
    <w:rsid w:val="00463115"/>
    <w:rsid w:val="004654A7"/>
    <w:rsid w:val="004732E1"/>
    <w:rsid w:val="00483D04"/>
    <w:rsid w:val="00486962"/>
    <w:rsid w:val="0049111C"/>
    <w:rsid w:val="004965D7"/>
    <w:rsid w:val="004A54AE"/>
    <w:rsid w:val="004C30F6"/>
    <w:rsid w:val="004C4DE5"/>
    <w:rsid w:val="004E492F"/>
    <w:rsid w:val="004E4F8A"/>
    <w:rsid w:val="0050210A"/>
    <w:rsid w:val="00503A35"/>
    <w:rsid w:val="00516284"/>
    <w:rsid w:val="005239C4"/>
    <w:rsid w:val="00574ACF"/>
    <w:rsid w:val="005949DC"/>
    <w:rsid w:val="005B7951"/>
    <w:rsid w:val="005C1B1A"/>
    <w:rsid w:val="005C1E11"/>
    <w:rsid w:val="005C3BB3"/>
    <w:rsid w:val="005C63BB"/>
    <w:rsid w:val="005E0B03"/>
    <w:rsid w:val="005E5120"/>
    <w:rsid w:val="005E7762"/>
    <w:rsid w:val="005F5504"/>
    <w:rsid w:val="006132FB"/>
    <w:rsid w:val="00630291"/>
    <w:rsid w:val="006422EF"/>
    <w:rsid w:val="0066152A"/>
    <w:rsid w:val="0066738F"/>
    <w:rsid w:val="006702B1"/>
    <w:rsid w:val="006850FC"/>
    <w:rsid w:val="00696239"/>
    <w:rsid w:val="006C5BB2"/>
    <w:rsid w:val="006C75AB"/>
    <w:rsid w:val="006D3976"/>
    <w:rsid w:val="006D5524"/>
    <w:rsid w:val="006E122E"/>
    <w:rsid w:val="007015CD"/>
    <w:rsid w:val="00711C51"/>
    <w:rsid w:val="00723E3C"/>
    <w:rsid w:val="00726172"/>
    <w:rsid w:val="007261EC"/>
    <w:rsid w:val="00737BC2"/>
    <w:rsid w:val="007411A0"/>
    <w:rsid w:val="00762DC1"/>
    <w:rsid w:val="00765851"/>
    <w:rsid w:val="00766F09"/>
    <w:rsid w:val="00781C60"/>
    <w:rsid w:val="0078387A"/>
    <w:rsid w:val="00784A89"/>
    <w:rsid w:val="007A3E26"/>
    <w:rsid w:val="007B347F"/>
    <w:rsid w:val="007C573A"/>
    <w:rsid w:val="007C656A"/>
    <w:rsid w:val="007D0730"/>
    <w:rsid w:val="007D154C"/>
    <w:rsid w:val="007D1DBB"/>
    <w:rsid w:val="007D6E90"/>
    <w:rsid w:val="007F7926"/>
    <w:rsid w:val="00805553"/>
    <w:rsid w:val="00806E4C"/>
    <w:rsid w:val="00813E9F"/>
    <w:rsid w:val="00847EA9"/>
    <w:rsid w:val="00853BF3"/>
    <w:rsid w:val="008707B7"/>
    <w:rsid w:val="008A4547"/>
    <w:rsid w:val="008F7D4E"/>
    <w:rsid w:val="0090633C"/>
    <w:rsid w:val="00926B6A"/>
    <w:rsid w:val="00926C94"/>
    <w:rsid w:val="0094216B"/>
    <w:rsid w:val="009462B5"/>
    <w:rsid w:val="00962D16"/>
    <w:rsid w:val="00966ECB"/>
    <w:rsid w:val="009874F4"/>
    <w:rsid w:val="00990A97"/>
    <w:rsid w:val="0099544E"/>
    <w:rsid w:val="009D0684"/>
    <w:rsid w:val="009D21CB"/>
    <w:rsid w:val="009D507B"/>
    <w:rsid w:val="009F72BC"/>
    <w:rsid w:val="00A00D15"/>
    <w:rsid w:val="00A0552B"/>
    <w:rsid w:val="00A05DF8"/>
    <w:rsid w:val="00A168CB"/>
    <w:rsid w:val="00A242C2"/>
    <w:rsid w:val="00A340C4"/>
    <w:rsid w:val="00A3612A"/>
    <w:rsid w:val="00A45862"/>
    <w:rsid w:val="00A525CE"/>
    <w:rsid w:val="00A62C90"/>
    <w:rsid w:val="00A73E2F"/>
    <w:rsid w:val="00A802B0"/>
    <w:rsid w:val="00A861BD"/>
    <w:rsid w:val="00AA537C"/>
    <w:rsid w:val="00AB74B6"/>
    <w:rsid w:val="00AC065C"/>
    <w:rsid w:val="00AE0538"/>
    <w:rsid w:val="00AE2705"/>
    <w:rsid w:val="00AF6455"/>
    <w:rsid w:val="00B0458A"/>
    <w:rsid w:val="00B05FB5"/>
    <w:rsid w:val="00B30F3B"/>
    <w:rsid w:val="00B424A8"/>
    <w:rsid w:val="00B46CCD"/>
    <w:rsid w:val="00B52928"/>
    <w:rsid w:val="00B82DCF"/>
    <w:rsid w:val="00B942B7"/>
    <w:rsid w:val="00BC0E1D"/>
    <w:rsid w:val="00BC40A9"/>
    <w:rsid w:val="00BC44D1"/>
    <w:rsid w:val="00BD6692"/>
    <w:rsid w:val="00BE00F8"/>
    <w:rsid w:val="00BF06BF"/>
    <w:rsid w:val="00BF5091"/>
    <w:rsid w:val="00C072CE"/>
    <w:rsid w:val="00C21AFB"/>
    <w:rsid w:val="00C23C77"/>
    <w:rsid w:val="00C37054"/>
    <w:rsid w:val="00C70D51"/>
    <w:rsid w:val="00C7379E"/>
    <w:rsid w:val="00C73B97"/>
    <w:rsid w:val="00C860C3"/>
    <w:rsid w:val="00C91B84"/>
    <w:rsid w:val="00C95547"/>
    <w:rsid w:val="00CA093E"/>
    <w:rsid w:val="00CA1755"/>
    <w:rsid w:val="00CB6D97"/>
    <w:rsid w:val="00CB79D8"/>
    <w:rsid w:val="00CC0F78"/>
    <w:rsid w:val="00CD05AF"/>
    <w:rsid w:val="00CF20DF"/>
    <w:rsid w:val="00CF7F05"/>
    <w:rsid w:val="00D01044"/>
    <w:rsid w:val="00D02B0E"/>
    <w:rsid w:val="00D05BD4"/>
    <w:rsid w:val="00D13AF3"/>
    <w:rsid w:val="00D62909"/>
    <w:rsid w:val="00D71A40"/>
    <w:rsid w:val="00D832B5"/>
    <w:rsid w:val="00D842C1"/>
    <w:rsid w:val="00DE5CE8"/>
    <w:rsid w:val="00DE7336"/>
    <w:rsid w:val="00DF031D"/>
    <w:rsid w:val="00DF0934"/>
    <w:rsid w:val="00DF6C87"/>
    <w:rsid w:val="00E25129"/>
    <w:rsid w:val="00E26E51"/>
    <w:rsid w:val="00E31860"/>
    <w:rsid w:val="00E51721"/>
    <w:rsid w:val="00E55D77"/>
    <w:rsid w:val="00E6023A"/>
    <w:rsid w:val="00E7768B"/>
    <w:rsid w:val="00E810C1"/>
    <w:rsid w:val="00E83559"/>
    <w:rsid w:val="00E92AE3"/>
    <w:rsid w:val="00E96A3D"/>
    <w:rsid w:val="00EA1037"/>
    <w:rsid w:val="00ED3A3B"/>
    <w:rsid w:val="00EE797B"/>
    <w:rsid w:val="00EF08C9"/>
    <w:rsid w:val="00F00D0F"/>
    <w:rsid w:val="00F038FB"/>
    <w:rsid w:val="00F07A1C"/>
    <w:rsid w:val="00F2001A"/>
    <w:rsid w:val="00F30FFB"/>
    <w:rsid w:val="00F33234"/>
    <w:rsid w:val="00F92532"/>
    <w:rsid w:val="00F9450A"/>
    <w:rsid w:val="00FA113E"/>
    <w:rsid w:val="00FA6C1E"/>
    <w:rsid w:val="00FB26D1"/>
    <w:rsid w:val="00FB36CB"/>
    <w:rsid w:val="00FD1D75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1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B74B6"/>
    <w:rPr>
      <w:color w:val="800080" w:themeColor="followedHyperlink"/>
      <w:u w:val="single"/>
    </w:rPr>
  </w:style>
  <w:style w:type="paragraph" w:customStyle="1" w:styleId="ConsPlusNormal">
    <w:name w:val="ConsPlusNormal"/>
    <w:rsid w:val="00E51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1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51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7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51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721"/>
    <w:rPr>
      <w:rFonts w:ascii="Calibri" w:eastAsia="Calibri" w:hAnsi="Calibri" w:cs="Times New Roman"/>
    </w:rPr>
  </w:style>
  <w:style w:type="character" w:customStyle="1" w:styleId="ac">
    <w:name w:val="Основной текст_"/>
    <w:link w:val="2"/>
    <w:locked/>
    <w:rsid w:val="00E517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E5172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apple-converted-space">
    <w:name w:val="apple-converted-space"/>
    <w:rsid w:val="00E51721"/>
  </w:style>
  <w:style w:type="paragraph" w:styleId="ad">
    <w:name w:val="Normal (Web)"/>
    <w:basedOn w:val="a"/>
    <w:uiPriority w:val="99"/>
    <w:semiHidden/>
    <w:unhideWhenUsed/>
    <w:rsid w:val="00E51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E517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39"/>
    <w:rsid w:val="00E517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51721"/>
    <w:pPr>
      <w:ind w:left="708"/>
    </w:pPr>
  </w:style>
  <w:style w:type="character" w:styleId="af">
    <w:name w:val="Strong"/>
    <w:uiPriority w:val="22"/>
    <w:qFormat/>
    <w:rsid w:val="00E51721"/>
    <w:rPr>
      <w:b/>
      <w:bCs/>
    </w:rPr>
  </w:style>
  <w:style w:type="paragraph" w:styleId="af0">
    <w:name w:val="Body Text"/>
    <w:basedOn w:val="a"/>
    <w:link w:val="af1"/>
    <w:rsid w:val="00E517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51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1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B74B6"/>
    <w:rPr>
      <w:color w:val="800080" w:themeColor="followedHyperlink"/>
      <w:u w:val="single"/>
    </w:rPr>
  </w:style>
  <w:style w:type="paragraph" w:customStyle="1" w:styleId="ConsPlusNormal">
    <w:name w:val="ConsPlusNormal"/>
    <w:rsid w:val="00E51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1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51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7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51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721"/>
    <w:rPr>
      <w:rFonts w:ascii="Calibri" w:eastAsia="Calibri" w:hAnsi="Calibri" w:cs="Times New Roman"/>
    </w:rPr>
  </w:style>
  <w:style w:type="character" w:customStyle="1" w:styleId="ac">
    <w:name w:val="Основной текст_"/>
    <w:link w:val="2"/>
    <w:locked/>
    <w:rsid w:val="00E517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E5172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apple-converted-space">
    <w:name w:val="apple-converted-space"/>
    <w:rsid w:val="00E51721"/>
  </w:style>
  <w:style w:type="paragraph" w:styleId="ad">
    <w:name w:val="Normal (Web)"/>
    <w:basedOn w:val="a"/>
    <w:uiPriority w:val="99"/>
    <w:semiHidden/>
    <w:unhideWhenUsed/>
    <w:rsid w:val="00E51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E517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39"/>
    <w:rsid w:val="00E517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51721"/>
    <w:pPr>
      <w:ind w:left="708"/>
    </w:pPr>
  </w:style>
  <w:style w:type="character" w:styleId="af">
    <w:name w:val="Strong"/>
    <w:uiPriority w:val="22"/>
    <w:qFormat/>
    <w:rsid w:val="00E51721"/>
    <w:rPr>
      <w:b/>
      <w:bCs/>
    </w:rPr>
  </w:style>
  <w:style w:type="paragraph" w:styleId="af0">
    <w:name w:val="Body Text"/>
    <w:basedOn w:val="a"/>
    <w:link w:val="af1"/>
    <w:rsid w:val="00E517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51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29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0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1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2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3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4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5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6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7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8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39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40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437758379244126E-2"/>
          <c:y val="3.1381506266140322E-2"/>
          <c:w val="0.98117251852952347"/>
          <c:h val="0.96759275760275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rgbClr val="FF6699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26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66FF33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rgbClr val="00B0F0"/>
              </a:solidFill>
            </c:spPr>
          </c:dPt>
          <c:dPt>
            <c:idx val="7"/>
            <c:bubble3D val="0"/>
            <c:spPr>
              <a:solidFill>
                <a:srgbClr val="FFC000"/>
              </a:solidFill>
            </c:spPr>
          </c:dPt>
          <c:dPt>
            <c:idx val="8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1.4675052410901468E-2"/>
                  <c:y val="7.97827523291690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941572629496193"/>
                  <c:y val="0.166570998284141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133016966368816"/>
                  <c:y val="9.30837931587848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-5.38906170919280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728684857789001E-3"/>
                  <c:y val="-0.154317373145908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6408986612522498E-2"/>
                  <c:y val="-8.10438071684457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3651098172988962"/>
                  <c:y val="-4.03087849312953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0156490548669196E-2"/>
                  <c:y val="-4.65418965793924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5.4571386123904324E-2"/>
                  <c:y val="-7.3903002309468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промышленная деятельность</c:v>
                </c:pt>
                <c:pt idx="2">
                  <c:v>потребительский рынок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курортно-туристская сфера</c:v>
                </c:pt>
                <c:pt idx="6">
                  <c:v>социальная сфера</c:v>
                </c:pt>
                <c:pt idx="7">
                  <c:v>прочие услуги</c:v>
                </c:pt>
                <c:pt idx="8">
                  <c:v>вид деятельности не указан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12.2</c:v>
                </c:pt>
                <c:pt idx="1">
                  <c:v>21</c:v>
                </c:pt>
                <c:pt idx="2">
                  <c:v>30.9</c:v>
                </c:pt>
                <c:pt idx="3">
                  <c:v>5.7</c:v>
                </c:pt>
                <c:pt idx="4">
                  <c:v>7</c:v>
                </c:pt>
                <c:pt idx="5">
                  <c:v>4.0999999999999996</c:v>
                </c:pt>
                <c:pt idx="6">
                  <c:v>9.4</c:v>
                </c:pt>
                <c:pt idx="7">
                  <c:v>5.0999999999999996</c:v>
                </c:pt>
                <c:pt idx="8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31924635181251E-2"/>
          <c:y val="7.1270427499640895E-2"/>
          <c:w val="0.48508259996912151"/>
          <c:h val="0.902436685980290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4172</c:v>
                </c:pt>
                <c:pt idx="1">
                  <c:v>1110</c:v>
                </c:pt>
                <c:pt idx="2">
                  <c:v>1273</c:v>
                </c:pt>
                <c:pt idx="3">
                  <c:v>650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1301185391041801"/>
          <c:y val="1.436790250464923E-2"/>
          <c:w val="0.37668776697030515"/>
          <c:h val="0.9856320974953507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31924635181251E-2"/>
          <c:y val="7.1270427499640895E-2"/>
          <c:w val="0.48508259996912151"/>
          <c:h val="0.902436685980290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307938434673346"/>
          <c:y val="0.13512246818204329"/>
          <c:w val="0.27662018921062853"/>
          <c:h val="0.7390913682959441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453898377525357E-2"/>
          <c:y val="4.8148686211271559E-2"/>
          <c:w val="0.53116543104345781"/>
          <c:h val="0.938849599519617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9.4599751231513596E-2"/>
                  <c:y val="0.184125286922160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68063386648694E-2"/>
                  <c:y val="1.142458668681176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413089492845655E-2"/>
                  <c:y val="1.04166666666666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1885</c:v>
                </c:pt>
                <c:pt idx="1">
                  <c:v>3531</c:v>
                </c:pt>
                <c:pt idx="2">
                  <c:v>1620</c:v>
                </c:pt>
                <c:pt idx="3">
                  <c:v>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257044602098"/>
          <c:y val="5.9590316573556797E-2"/>
          <c:w val="0.32410418994655377"/>
          <c:h val="0.9404096834264431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854078022855839E-2"/>
          <c:y val="3.6663167104111993E-2"/>
          <c:w val="0.53103503366427018"/>
          <c:h val="0.949962671332750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2.7434890054192102E-2"/>
                  <c:y val="9.64754136915681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4636</c:v>
                </c:pt>
                <c:pt idx="1">
                  <c:v>1236</c:v>
                </c:pt>
                <c:pt idx="2">
                  <c:v>916</c:v>
                </c:pt>
                <c:pt idx="3">
                  <c:v>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0333317031023292"/>
          <c:y val="1.4479440069991252E-2"/>
          <c:w val="0.36407981610994278"/>
          <c:h val="0.9855205599300086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2.9999270924467775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3.3841402354826126E-2"/>
                  <c:y val="7.7831729367162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795453534409886E-2"/>
          <c:y val="4.8734689413823272E-2"/>
          <c:w val="0.57917144890786953"/>
          <c:h val="0.918857903178769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2.0646603496596822E-2"/>
                  <c:y val="6.67731116943715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09335701724153E-2"/>
                  <c:y val="2.14521452145214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1936</c:v>
                </c:pt>
                <c:pt idx="1">
                  <c:v>3107</c:v>
                </c:pt>
                <c:pt idx="2">
                  <c:v>1956</c:v>
                </c:pt>
                <c:pt idx="3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88399303622401"/>
          <c:y val="4.8932200306644837E-2"/>
          <c:w val="0.31889039122634921"/>
          <c:h val="0.877835815077570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5561820204573194E-2"/>
          <c:y val="4.61928165019641E-2"/>
          <c:w val="0.5587932989857749"/>
          <c:h val="0.911320615124451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4"/>
              <c:layout>
                <c:manualLayout>
                  <c:x val="3.4954649656134755E-2"/>
                  <c:y val="2.84757118927973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3901</c:v>
                </c:pt>
                <c:pt idx="1">
                  <c:v>834</c:v>
                </c:pt>
                <c:pt idx="2">
                  <c:v>1363</c:v>
                </c:pt>
                <c:pt idx="3">
                  <c:v>1107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555566630120605"/>
          <c:y val="2.9829462271989869E-2"/>
          <c:w val="0.39018239808631516"/>
          <c:h val="0.9493129690446984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3.3841402354826126E-2"/>
                  <c:y val="7.7831729367162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очень высокая</c:v>
                </c:pt>
                <c:pt idx="1">
                  <c:v>высокая</c:v>
                </c:pt>
                <c:pt idx="2">
                  <c:v>умеренная</c:v>
                </c:pt>
                <c:pt idx="3">
                  <c:v>слабая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881862135654099E-2"/>
          <c:y val="4.4417928528164757E-2"/>
          <c:w val="0.50710628539853575"/>
          <c:h val="0.926444175247324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5.6199060643735326E-3"/>
                  <c:y val="8.65780487116529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3955484182898188E-2"/>
                  <c:y val="9.67741935483870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1824</c:v>
                </c:pt>
                <c:pt idx="1">
                  <c:v>2140</c:v>
                </c:pt>
                <c:pt idx="2">
                  <c:v>2654</c:v>
                </c:pt>
                <c:pt idx="3">
                  <c:v>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707141870424099"/>
          <c:y val="7.8206191967939487E-2"/>
          <c:w val="0.3387926509186352"/>
          <c:h val="0.8968295092145739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982418136597556E-2"/>
          <c:y val="5.4600474405939896E-2"/>
          <c:w val="0.52882416990452608"/>
          <c:h val="0.910531841414560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4389</c:v>
                </c:pt>
                <c:pt idx="1">
                  <c:v>917</c:v>
                </c:pt>
                <c:pt idx="2">
                  <c:v>1132</c:v>
                </c:pt>
                <c:pt idx="3">
                  <c:v>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096836579638071"/>
          <c:y val="1.6618243575168078E-2"/>
          <c:w val="0.36642181240502825"/>
          <c:h val="0.9551436551714458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572094850793564E-2"/>
          <c:y val="3.4375000000000003E-2"/>
          <c:w val="0.571620426519587"/>
          <c:h val="0.925000000000000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величина годового оборота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120 млн. руб. (микропредприятие)</c:v>
                </c:pt>
                <c:pt idx="1">
                  <c:v>от 120 до 800 млн. руб. (малое предприятие)</c:v>
                </c:pt>
                <c:pt idx="2">
                  <c:v>от 800 до 2000 млн. руб. (среднее предприятие)</c:v>
                </c:pt>
                <c:pt idx="3">
                  <c:v>более 2000 млн. руб. (крупное предприятие)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629</c:v>
                </c:pt>
                <c:pt idx="1">
                  <c:v>200</c:v>
                </c:pt>
                <c:pt idx="2">
                  <c:v>83</c:v>
                </c:pt>
                <c:pt idx="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607293171193833"/>
          <c:y val="5.4589709305204771E-2"/>
          <c:w val="0.37234020303675053"/>
          <c:h val="0.89081959094735796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110512501726758E-2"/>
          <c:y val="4.3649343832020994E-2"/>
          <c:w val="0.52112722751761298"/>
          <c:h val="0.949951477467530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0.10681139553912036"/>
                  <c:y val="9.53226603132172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3740104349304515E-2"/>
                  <c:y val="5.10356316161586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8730455722737631E-2"/>
                  <c:y val="1.84162062615101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1922</c:v>
                </c:pt>
                <c:pt idx="1">
                  <c:v>3510</c:v>
                </c:pt>
                <c:pt idx="2">
                  <c:v>1559</c:v>
                </c:pt>
                <c:pt idx="3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3830831825633449"/>
          <c:y val="1.7295759082746238E-2"/>
          <c:w val="0.33055678719771675"/>
          <c:h val="0.9819317585301837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2246211159089E-2"/>
          <c:y val="2.7851360685177514E-2"/>
          <c:w val="0.57493252053170774"/>
          <c:h val="0.9380477966569967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2.9463802054683283E-2"/>
                  <c:y val="5.62564679415073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5046</c:v>
                </c:pt>
                <c:pt idx="1">
                  <c:v>1172</c:v>
                </c:pt>
                <c:pt idx="2">
                  <c:v>630</c:v>
                </c:pt>
                <c:pt idx="3">
                  <c:v>357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1610498687664039"/>
          <c:y val="0"/>
          <c:w val="0.37858606383879434"/>
          <c:h val="0.9834634618041165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3.3841402354826126E-2"/>
                  <c:y val="7.7831729367162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34628975265017"/>
          <c:y val="0.22635135135135134"/>
          <c:w val="0.69081272084805656"/>
          <c:h val="0.523648648648648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9">
              <a:solidFill>
                <a:srgbClr val="000000"/>
              </a:solidFill>
              <a:prstDash val="solid"/>
            </a:ln>
          </c:spPr>
          <c:explosion val="33"/>
          <c:dPt>
            <c:idx val="0"/>
            <c:bubble3D val="0"/>
            <c:spPr>
              <a:solidFill>
                <a:srgbClr val="FFFF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CC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C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CC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8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99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3366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624921939969431E-2"/>
                  <c:y val="0.140375563149995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1"/>
              <c:layout>
                <c:manualLayout>
                  <c:x val="-0.19288174510798048"/>
                  <c:y val="-2.41660697288302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2"/>
              <c:layout>
                <c:manualLayout>
                  <c:x val="7.4371963902774785E-2"/>
                  <c:y val="-5.65235939969612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3"/>
              <c:layout>
                <c:manualLayout>
                  <c:xMode val="edge"/>
                  <c:yMode val="edge"/>
                  <c:x val="0.48763250883392228"/>
                  <c:y val="0.97297297297297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4"/>
              <c:layout>
                <c:manualLayout>
                  <c:xMode val="edge"/>
                  <c:yMode val="edge"/>
                  <c:x val="0.25265017667844525"/>
                  <c:y val="0.966216216216216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5"/>
              <c:layout>
                <c:manualLayout>
                  <c:xMode val="edge"/>
                  <c:yMode val="edge"/>
                  <c:x val="7.9505300353356886E-2"/>
                  <c:y val="0.908783783783783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6"/>
              <c:layout>
                <c:manualLayout>
                  <c:xMode val="edge"/>
                  <c:yMode val="edge"/>
                  <c:x val="5.3003533568904597E-3"/>
                  <c:y val="0.665540540540540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7"/>
              <c:layout>
                <c:manualLayout>
                  <c:xMode val="edge"/>
                  <c:yMode val="edge"/>
                  <c:x val="5.3003533568904597E-3"/>
                  <c:y val="0.297297297297297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8"/>
              <c:layout>
                <c:manualLayout>
                  <c:xMode val="edge"/>
                  <c:yMode val="edge"/>
                  <c:x val="8.1272084805653705E-2"/>
                  <c:y val="0.148648648648648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9"/>
              <c:layout>
                <c:manualLayout>
                  <c:xMode val="edge"/>
                  <c:yMode val="edge"/>
                  <c:x val="0.24028268551236748"/>
                  <c:y val="2.70270270270270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dLbl>
              <c:idx val="10"/>
              <c:layout>
                <c:manualLayout>
                  <c:xMode val="edge"/>
                  <c:yMode val="edge"/>
                  <c:x val="0.39575971731448761"/>
                  <c:y val="0.15540540540540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, </c:separator>
            </c:dLbl>
            <c:numFmt formatCode="0%" sourceLinked="0"/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,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управляющие компании</c:v>
                </c:pt>
                <c:pt idx="1">
                  <c:v>ТСЖ и ЖСК</c:v>
                </c:pt>
                <c:pt idx="2">
                  <c:v>собственники помещений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0.76600000000000001</c:v>
                </c:pt>
                <c:pt idx="1">
                  <c:v>0.13600000000000001</c:v>
                </c:pt>
                <c:pt idx="2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, </c:separator>
          <c:showLeaderLines val="1"/>
        </c:dLbls>
      </c:pie3DChart>
      <c:spPr>
        <a:noFill/>
        <a:ln w="2537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678123567887345E-2"/>
          <c:y val="2.8369156558132935E-2"/>
          <c:w val="0.58848513868198904"/>
          <c:h val="0.941576221891182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8.4807372601846356E-2"/>
                  <c:y val="8.7447761609304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974902577096395E-2"/>
                  <c:y val="5.64065180898324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7446569178852645E-2"/>
                  <c:y val="3.7837837837837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2120</c:v>
                </c:pt>
                <c:pt idx="1">
                  <c:v>3225</c:v>
                </c:pt>
                <c:pt idx="2">
                  <c:v>1635</c:v>
                </c:pt>
                <c:pt idx="3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2277086699667428"/>
          <c:y val="1.4918687927828116E-2"/>
          <c:w val="0.3573503637778177"/>
          <c:h val="0.9574080375631437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586324436718134E-2"/>
          <c:y val="2.9638769380631536E-2"/>
          <c:w val="0.57521696151617407"/>
          <c:h val="0.91323105230402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4"/>
              <c:layout>
                <c:manualLayout>
                  <c:x val="5.7665405460681052E-2"/>
                  <c:y val="8.90575533728387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4293</c:v>
                </c:pt>
                <c:pt idx="1">
                  <c:v>854</c:v>
                </c:pt>
                <c:pt idx="2">
                  <c:v>1172</c:v>
                </c:pt>
                <c:pt idx="3">
                  <c:v>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1642416057216154"/>
          <c:y val="2.4801850263766537E-3"/>
          <c:w val="0.36596182758708562"/>
          <c:h val="0.9562942750968009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9.0066301953219685E-2"/>
                  <c:y val="0.114868766404199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285127402552941E-2"/>
          <c:y val="7.1448174241377727E-2"/>
          <c:w val="0.52755775093330726"/>
          <c:h val="0.894071556844868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CC00CC"/>
              </a:solidFill>
            </c:spPr>
          </c:dPt>
          <c:dLbls>
            <c:dLbl>
              <c:idx val="2"/>
              <c:layout>
                <c:manualLayout>
                  <c:x val="3.6688457421083231E-2"/>
                  <c:y val="0.109890684717041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428353101431942E-2"/>
                  <c:y val="-3.201552930883639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03873882853251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3127</c:v>
                </c:pt>
                <c:pt idx="1">
                  <c:v>3544</c:v>
                </c:pt>
                <c:pt idx="2">
                  <c:v>473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735572610385726"/>
          <c:y val="5.573162729658792E-2"/>
          <c:w val="0.33482806737765369"/>
          <c:h val="0.9138834208223972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245033112582781E-2"/>
          <c:y val="4.4575979726672092E-2"/>
          <c:w val="0.534722488957173"/>
          <c:h val="0.907184360575617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CC00CC"/>
              </a:solidFill>
            </c:spPr>
          </c:dPt>
          <c:dLbls>
            <c:dLbl>
              <c:idx val="3"/>
              <c:layout>
                <c:manualLayout>
                  <c:x val="1.6647888526129355E-2"/>
                  <c:y val="6.679327874713335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3349150892562272E-2"/>
                  <c:y val="5.88235294117647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5485</c:v>
                </c:pt>
                <c:pt idx="1">
                  <c:v>1090</c:v>
                </c:pt>
                <c:pt idx="2">
                  <c:v>385</c:v>
                </c:pt>
                <c:pt idx="3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476473553388608"/>
          <c:y val="4.2013839179193511E-2"/>
          <c:w val="0.37565208322469623"/>
          <c:h val="0.9556276053728577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5.2583035554290676E-2"/>
                  <c:y val="7.7831729367162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335146359717082E-2"/>
                  <c:y val="3.53703703703703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высокая</c:v>
                </c:pt>
                <c:pt idx="1">
                  <c:v>высокая</c:v>
                </c:pt>
                <c:pt idx="2">
                  <c:v>умеренная</c:v>
                </c:pt>
                <c:pt idx="3">
                  <c:v>слабая</c:v>
                </c:pt>
                <c:pt idx="4">
                  <c:v>нет совсем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59</c:v>
                </c:pt>
                <c:pt idx="2">
                  <c:v>64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85115303983229E-2"/>
          <c:y val="5.0248282071537177E-2"/>
          <c:w val="0.93771488469601683"/>
          <c:h val="0.78438719431915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128</c:v>
                </c:pt>
                <c:pt idx="2">
                  <c:v>391</c:v>
                </c:pt>
                <c:pt idx="3">
                  <c:v>285</c:v>
                </c:pt>
                <c:pt idx="4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926912"/>
        <c:axId val="197928448"/>
        <c:axId val="0"/>
      </c:bar3DChart>
      <c:catAx>
        <c:axId val="19792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928448"/>
        <c:crosses val="autoZero"/>
        <c:auto val="1"/>
        <c:lblAlgn val="ctr"/>
        <c:lblOffset val="100"/>
        <c:noMultiLvlLbl val="0"/>
      </c:catAx>
      <c:valAx>
        <c:axId val="19792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792691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16009953017827E-2"/>
          <c:y val="3.8608373254042545E-2"/>
          <c:w val="0.52467158860859653"/>
          <c:h val="0.917698305893581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4"/>
              <c:layout>
                <c:manualLayout>
                  <c:x val="3.308347820158844E-2"/>
                  <c:y val="7.445037112296449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2255</c:v>
                </c:pt>
                <c:pt idx="1">
                  <c:v>3657</c:v>
                </c:pt>
                <c:pt idx="2">
                  <c:v>1212</c:v>
                </c:pt>
                <c:pt idx="3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85183014095069"/>
          <c:y val="2.0853069042045421E-2"/>
          <c:w val="0.33482795233120133"/>
          <c:h val="0.9740980854550541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916417864269916E-2"/>
          <c:y val="2.1642241339049705E-2"/>
          <c:w val="0.52230909250292634"/>
          <c:h val="0.946104370405656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3"/>
              <c:layout>
                <c:manualLayout>
                  <c:x val="3.6075540358252028E-2"/>
                  <c:y val="7.81604137718079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9019497562804652E-2"/>
                  <c:y val="4.18760469011725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4960</c:v>
                </c:pt>
                <c:pt idx="1">
                  <c:v>1064</c:v>
                </c:pt>
                <c:pt idx="2">
                  <c:v>699</c:v>
                </c:pt>
                <c:pt idx="3">
                  <c:v>482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120953062685347"/>
          <c:y val="2.2207626056793151E-2"/>
          <c:w val="0.36163275045164811"/>
          <c:h val="0.951108824964718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7.4002044925107258E-2"/>
                  <c:y val="0.147276173811606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335146359717082E-2"/>
                  <c:y val="3.53703703703703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высокая</c:v>
                </c:pt>
                <c:pt idx="1">
                  <c:v>высокая</c:v>
                </c:pt>
                <c:pt idx="2">
                  <c:v>умеренная</c:v>
                </c:pt>
                <c:pt idx="3">
                  <c:v>слабая</c:v>
                </c:pt>
                <c:pt idx="4">
                  <c:v>нет совсем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21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4598879365431432E-3"/>
          <c:y val="4.2980584873699296E-2"/>
          <c:w val="0.54115918608765456"/>
          <c:h val="0.95374509037434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2"/>
              <c:layout>
                <c:manualLayout>
                  <c:x val="4.2227115976700098E-2"/>
                  <c:y val="8.1126933601384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627602887667212E-2"/>
                  <c:y val="1.852162096759181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877663019395304"/>
                  <c:y val="2.469135802469135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2657</c:v>
                </c:pt>
                <c:pt idx="1">
                  <c:v>3984</c:v>
                </c:pt>
                <c:pt idx="2">
                  <c:v>477</c:v>
                </c:pt>
                <c:pt idx="3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469267477928895"/>
          <c:y val="1.8626560568817788E-2"/>
          <c:w val="0.33482803285952889"/>
          <c:h val="0.9701120693246677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743505487010977E-2"/>
          <c:y val="5.3472686417794901E-2"/>
          <c:w val="0.5099173331679997"/>
          <c:h val="0.931791385789006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5520</c:v>
                </c:pt>
                <c:pt idx="1">
                  <c:v>1001</c:v>
                </c:pt>
                <c:pt idx="2">
                  <c:v>401</c:v>
                </c:pt>
                <c:pt idx="3">
                  <c:v>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1304243946250903"/>
          <c:y val="0"/>
          <c:w val="0.37036614609220364"/>
          <c:h val="0.9913287401574802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7.4002044925107258E-2"/>
                  <c:y val="0.147276173811606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335146359717082E-2"/>
                  <c:y val="3.53703703703703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высокая</c:v>
                </c:pt>
                <c:pt idx="1">
                  <c:v>высокая</c:v>
                </c:pt>
                <c:pt idx="2">
                  <c:v>умеренная</c:v>
                </c:pt>
                <c:pt idx="3">
                  <c:v>слабая</c:v>
                </c:pt>
                <c:pt idx="4">
                  <c:v>нет совсем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877055949168677E-2"/>
          <c:y val="5.0147146240866233E-2"/>
          <c:w val="0.52901072310199149"/>
          <c:h val="0.908041007069238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2970543180243732"/>
                  <c:y val="0.12679085845976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2100690383999028E-2"/>
                  <c:y val="1.99600798403193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2039</c:v>
                </c:pt>
                <c:pt idx="1">
                  <c:v>3041</c:v>
                </c:pt>
                <c:pt idx="2">
                  <c:v>1917</c:v>
                </c:pt>
                <c:pt idx="3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298213224348958"/>
          <c:y val="4.4444200572489413E-2"/>
          <c:w val="0.2877399525802769"/>
          <c:h val="0.925788122638516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241610065917337E-2"/>
          <c:y val="3.7509669843901097E-2"/>
          <c:w val="0.49597162950051094"/>
          <c:h val="0.9183361620433487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3"/>
              <c:layout>
                <c:manualLayout>
                  <c:x val="3.5182224359359658E-2"/>
                  <c:y val="9.29838717156821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4893</c:v>
                </c:pt>
                <c:pt idx="1">
                  <c:v>941</c:v>
                </c:pt>
                <c:pt idx="2">
                  <c:v>911</c:v>
                </c:pt>
                <c:pt idx="3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881589228827315"/>
          <c:y val="0"/>
          <c:w val="0.37868425797920297"/>
          <c:h val="0.9459234700925541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7.4002044925107258E-2"/>
                  <c:y val="0.147276173811606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335146359717082E-2"/>
                  <c:y val="3.53703703703703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умеренная</c:v>
                </c:pt>
                <c:pt idx="1">
                  <c:v>слабая</c:v>
                </c:pt>
                <c:pt idx="2">
                  <c:v>нет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272955338414024"/>
          <c:y val="1.8198818897637793E-2"/>
          <c:w val="0.27337106958015783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53386709014319E-2"/>
          <c:y val="5.3085875984251962E-2"/>
          <c:w val="0.71709645159051849"/>
          <c:h val="0.79299778543307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водоснабжение, водоотведение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низкая</c:v>
                </c:pt>
                <c:pt idx="1">
                  <c:v>скорее низкая</c:v>
                </c:pt>
                <c:pt idx="2">
                  <c:v>скорее высокая</c:v>
                </c:pt>
                <c:pt idx="3">
                  <c:v>высокая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212</c:v>
                </c:pt>
                <c:pt idx="1">
                  <c:v>76</c:v>
                </c:pt>
                <c:pt idx="2">
                  <c:v>483</c:v>
                </c:pt>
                <c:pt idx="3">
                  <c:v>227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газоснабжение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низкая</c:v>
                </c:pt>
                <c:pt idx="1">
                  <c:v>скорее низкая</c:v>
                </c:pt>
                <c:pt idx="2">
                  <c:v>скорее высокая</c:v>
                </c:pt>
                <c:pt idx="3">
                  <c:v>высокая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209</c:v>
                </c:pt>
                <c:pt idx="1">
                  <c:v>54</c:v>
                </c:pt>
                <c:pt idx="2">
                  <c:v>456</c:v>
                </c:pt>
                <c:pt idx="3">
                  <c:v>295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электроснабжение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низкая</c:v>
                </c:pt>
                <c:pt idx="1">
                  <c:v>скорее низкая</c:v>
                </c:pt>
                <c:pt idx="2">
                  <c:v>скорее высокая</c:v>
                </c:pt>
                <c:pt idx="3">
                  <c:v>высокая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208</c:v>
                </c:pt>
                <c:pt idx="1">
                  <c:v>52</c:v>
                </c:pt>
                <c:pt idx="2">
                  <c:v>468</c:v>
                </c:pt>
                <c:pt idx="3">
                  <c:v>286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теплоснабжение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низкая</c:v>
                </c:pt>
                <c:pt idx="1">
                  <c:v>скорее низкая</c:v>
                </c:pt>
                <c:pt idx="2">
                  <c:v>скорее высокая</c:v>
                </c:pt>
                <c:pt idx="3">
                  <c:v>высокая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229</c:v>
                </c:pt>
                <c:pt idx="1">
                  <c:v>61</c:v>
                </c:pt>
                <c:pt idx="2">
                  <c:v>476</c:v>
                </c:pt>
                <c:pt idx="3">
                  <c:v>248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телефонная связь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низкая</c:v>
                </c:pt>
                <c:pt idx="1">
                  <c:v>скорее низкая</c:v>
                </c:pt>
                <c:pt idx="2">
                  <c:v>скорее высокая</c:v>
                </c:pt>
                <c:pt idx="3">
                  <c:v>высокая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317</c:v>
                </c:pt>
                <c:pt idx="1">
                  <c:v>120</c:v>
                </c:pt>
                <c:pt idx="2">
                  <c:v>395</c:v>
                </c:pt>
                <c:pt idx="3">
                  <c:v>182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701376"/>
        <c:axId val="255702912"/>
        <c:axId val="0"/>
      </c:bar3DChart>
      <c:catAx>
        <c:axId val="25570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702912"/>
        <c:crosses val="autoZero"/>
        <c:auto val="1"/>
        <c:lblAlgn val="ctr"/>
        <c:lblOffset val="100"/>
        <c:noMultiLvlLbl val="0"/>
      </c:catAx>
      <c:valAx>
        <c:axId val="255702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 dirty="0" smtClean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  <a:endParaRPr lang="ru-RU" sz="1200" b="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5516178673622252E-3"/>
              <c:y val="0.31362562849349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7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12124922953842"/>
          <c:y val="5.6429625984251962E-2"/>
          <c:w val="0.20787875371787676"/>
          <c:h val="0.7623203740157480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48000000000003E-2"/>
          <c:y val="4.5004983072768075E-2"/>
          <c:w val="0.925952"/>
          <c:h val="0.68865061432538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действия властей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1.5432098765432098E-2"/>
                  <c:y val="-1.9642228626261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45679012345678E-2"/>
                  <c:y val="-2.525429394805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16E-3"/>
                  <c:y val="-2.8060326608944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16049382716049E-3"/>
                  <c:y val="-3.3672391930733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975308641975308E-2"/>
                  <c:y val="-3.0866359269839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ограны власти помогают бизнесу своими действиями</c:v>
                </c:pt>
                <c:pt idx="1">
                  <c:v>органы власти ничего не предпринимают, что и требуется</c:v>
                </c:pt>
                <c:pt idx="2">
                  <c:v>органы власти не предпринимают каких-либо действий, но их участие необходимо</c:v>
                </c:pt>
                <c:pt idx="3">
                  <c:v>органы власти только мешают бизнесу своими действиями</c:v>
                </c:pt>
                <c:pt idx="4">
                  <c:v>в чем-то органы власти помогают, в чем-то мешают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231</c:v>
                </c:pt>
                <c:pt idx="1">
                  <c:v>132</c:v>
                </c:pt>
                <c:pt idx="2">
                  <c:v>117</c:v>
                </c:pt>
                <c:pt idx="3">
                  <c:v>71</c:v>
                </c:pt>
                <c:pt idx="4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977600"/>
        <c:axId val="197979136"/>
        <c:axId val="0"/>
      </c:bar3DChart>
      <c:catAx>
        <c:axId val="19797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979136"/>
        <c:crosses val="autoZero"/>
        <c:auto val="1"/>
        <c:lblAlgn val="ctr"/>
        <c:lblOffset val="100"/>
        <c:noMultiLvlLbl val="0"/>
      </c:catAx>
      <c:valAx>
        <c:axId val="19797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97760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131911193837935E-2"/>
          <c:y val="3.9208976323891545E-2"/>
          <c:w val="0.93483806337997855"/>
          <c:h val="0.81143251545211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4006</c:v>
                </c:pt>
                <c:pt idx="1">
                  <c:v>3644</c:v>
                </c:pt>
                <c:pt idx="2">
                  <c:v>5184</c:v>
                </c:pt>
                <c:pt idx="3">
                  <c:v>4634</c:v>
                </c:pt>
                <c:pt idx="4">
                  <c:v>4535</c:v>
                </c:pt>
                <c:pt idx="5">
                  <c:v>5202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1405</c:v>
                </c:pt>
                <c:pt idx="1">
                  <c:v>1134</c:v>
                </c:pt>
                <c:pt idx="2">
                  <c:v>1072</c:v>
                </c:pt>
                <c:pt idx="3">
                  <c:v>1291</c:v>
                </c:pt>
                <c:pt idx="4">
                  <c:v>1204</c:v>
                </c:pt>
                <c:pt idx="5">
                  <c:v>1029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928</c:v>
                </c:pt>
                <c:pt idx="1">
                  <c:v>1168</c:v>
                </c:pt>
                <c:pt idx="2">
                  <c:v>476</c:v>
                </c:pt>
                <c:pt idx="3">
                  <c:v>735</c:v>
                </c:pt>
                <c:pt idx="4">
                  <c:v>726</c:v>
                </c:pt>
                <c:pt idx="5">
                  <c:v>490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866</c:v>
                </c:pt>
                <c:pt idx="1">
                  <c:v>1259</c:v>
                </c:pt>
                <c:pt idx="2">
                  <c:v>473</c:v>
                </c:pt>
                <c:pt idx="3">
                  <c:v>545</c:v>
                </c:pt>
                <c:pt idx="4">
                  <c:v>740</c:v>
                </c:pt>
                <c:pt idx="5">
                  <c:v>484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5437056"/>
        <c:axId val="255455232"/>
        <c:axId val="0"/>
      </c:bar3DChart>
      <c:catAx>
        <c:axId val="25543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455232"/>
        <c:crosses val="autoZero"/>
        <c:auto val="1"/>
        <c:lblAlgn val="ctr"/>
        <c:lblOffset val="100"/>
        <c:noMultiLvlLbl val="0"/>
      </c:catAx>
      <c:valAx>
        <c:axId val="2554552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 dirty="0" smtClean="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  <a:endParaRPr lang="ru-RU" sz="1200" b="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4994571502636647E-4"/>
              <c:y val="8.9936660993472552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43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59207066325237E-2"/>
          <c:y val="0.92940839330767844"/>
          <c:w val="0.96529731425690812"/>
          <c:h val="5.375541072695468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8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07987916604769E-2"/>
          <c:y val="0.14050052834304802"/>
          <c:w val="0.83977227222431261"/>
          <c:h val="0.817087902339209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99FF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70C0"/>
              </a:solidFill>
            </c:spPr>
          </c:dPt>
          <c:dPt>
            <c:idx val="5"/>
            <c:bubble3D val="0"/>
            <c:spPr>
              <a:solidFill>
                <a:srgbClr val="9966FF"/>
              </a:solidFill>
            </c:spPr>
          </c:dPt>
          <c:dPt>
            <c:idx val="6"/>
            <c:bubble3D val="0"/>
            <c:spPr>
              <a:solidFill>
                <a:srgbClr val="00FF00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solidFill>
                <a:srgbClr val="7030A0"/>
              </a:solidFill>
            </c:spPr>
          </c:dPt>
          <c:dPt>
            <c:idx val="9"/>
            <c:bubble3D val="0"/>
            <c:spPr>
              <a:solidFill>
                <a:srgbClr val="FF0066"/>
              </a:solidFill>
            </c:spPr>
          </c:dPt>
          <c:dPt>
            <c:idx val="10"/>
            <c:bubble3D val="0"/>
            <c:spPr>
              <a:solidFill>
                <a:srgbClr val="00FFFF"/>
              </a:solidFill>
            </c:spPr>
          </c:dPt>
          <c:dPt>
            <c:idx val="11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0.20484084943927464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архитектура и градо-строительство
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744750656167981E-2"/>
                  <c:y val="-0.224482612871559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4176023135996887E-2"/>
                  <c:y val="0.26147739166228273"/>
                </c:manualLayout>
              </c:layout>
              <c:tx>
                <c:rich>
                  <a:bodyPr/>
                  <a:lstStyle/>
                  <a:p>
                    <a:r>
                      <a:rPr lang="ru-RU" sz="1050" dirty="0"/>
                      <a:t>транспорт и </a:t>
                    </a:r>
                    <a:endParaRPr lang="ru-RU" sz="1050" dirty="0" smtClean="0"/>
                  </a:p>
                  <a:p>
                    <a:r>
                      <a:rPr lang="ru-RU" sz="1050" dirty="0" smtClean="0"/>
                      <a:t>дорожное </a:t>
                    </a:r>
                    <a:r>
                      <a:rPr lang="ru-RU" sz="1050" dirty="0"/>
                      <a:t>хозяйство
8%</a:t>
                    </a:r>
                    <a:endParaRPr lang="ru-RU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553635656654033"/>
                  <c:y val="0.29204856513409422"/>
                </c:manualLayout>
              </c:layout>
              <c:tx>
                <c:rich>
                  <a:bodyPr/>
                  <a:lstStyle/>
                  <a:p>
                    <a:r>
                      <a:rPr lang="ru-RU" sz="1050" dirty="0"/>
                      <a:t>сельское </a:t>
                    </a:r>
                    <a:endParaRPr lang="ru-RU" sz="1050" dirty="0" smtClean="0"/>
                  </a:p>
                  <a:p>
                    <a:r>
                      <a:rPr lang="ru-RU" sz="1050" dirty="0" smtClean="0"/>
                      <a:t>хозяйство</a:t>
                    </a:r>
                    <a:r>
                      <a:rPr lang="ru-RU" sz="1050" dirty="0"/>
                      <a:t>
5%</a:t>
                    </a:r>
                    <a:endParaRPr lang="ru-RU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7776805677069"/>
                  <c:y val="7.77628981942627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6999769126081465"/>
                  <c:y val="-5.165530518035607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4619361815884137E-2"/>
                  <c:y val="-9.15098068632024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5982321055495775E-2"/>
                  <c:y val="-1.0122409420376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6234355254204338"/>
                  <c:y val="-9.9603112089073674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2827382426253323"/>
                  <c:y val="1.3519310086239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7.2704732663134083E-2"/>
                  <c:y val="0.119839656406585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9.4676868221660965E-2"/>
                  <c:y val="0.25322316528615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архитектура и градостроительство</c:v>
                </c:pt>
                <c:pt idx="1">
                  <c:v>жилищно-коммунальное хозяйство</c:v>
                </c:pt>
                <c:pt idx="2">
                  <c:v>транспорт и дорожное хозяйство</c:v>
                </c:pt>
                <c:pt idx="3">
                  <c:v>сельское хозяйство</c:v>
                </c:pt>
                <c:pt idx="4">
                  <c:v>здравоохранение</c:v>
                </c:pt>
                <c:pt idx="5">
                  <c:v>культура</c:v>
                </c:pt>
                <c:pt idx="6">
                  <c:v>молодёжная политика</c:v>
                </c:pt>
                <c:pt idx="7">
                  <c:v>физическая культура и спорт</c:v>
                </c:pt>
                <c:pt idx="8">
                  <c:v>торговля</c:v>
                </c:pt>
                <c:pt idx="9">
                  <c:v>общественное питание</c:v>
                </c:pt>
                <c:pt idx="10">
                  <c:v>бытовое обслуживание населения</c:v>
                </c:pt>
                <c:pt idx="11">
                  <c:v>прочие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16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1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434282253179888E-2"/>
          <c:y val="6.7772691204297131E-2"/>
          <c:w val="0.43768746214415505"/>
          <c:h val="0.882160776414576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FF33CC"/>
              </a:solidFill>
            </c:spPr>
          </c:dPt>
          <c:dLbls>
            <c:dLbl>
              <c:idx val="1"/>
              <c:layout>
                <c:manualLayout>
                  <c:x val="8.0241713971800042E-3"/>
                  <c:y val="9.93974943415473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99175975096136E-3"/>
                  <c:y val="1.73674646944435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9111273881462493E-2"/>
                  <c:y val="1.21457489878542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6.7596492298927752E-2"/>
                  <c:y val="6.747638326585695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работающие</c:v>
                </c:pt>
                <c:pt idx="1">
                  <c:v>безработные</c:v>
                </c:pt>
                <c:pt idx="2">
                  <c:v>студенты</c:v>
                </c:pt>
                <c:pt idx="3">
                  <c:v>домохозяева</c:v>
                </c:pt>
                <c:pt idx="4">
                  <c:v>пенсионеры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5385</c:v>
                </c:pt>
                <c:pt idx="1">
                  <c:v>334</c:v>
                </c:pt>
                <c:pt idx="2">
                  <c:v>590</c:v>
                </c:pt>
                <c:pt idx="3">
                  <c:v>210</c:v>
                </c:pt>
                <c:pt idx="4">
                  <c:v>618</c:v>
                </c:pt>
                <c:pt idx="5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4653795976878139"/>
          <c:y val="3.562538327568867E-2"/>
          <c:w val="0.25895147193044876"/>
          <c:h val="0.96437461672431135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593126330906753E-2"/>
          <c:y val="7.0688499577691202E-2"/>
          <c:w val="0.54180051392946948"/>
          <c:h val="0.9329922207377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0.11962407214821418"/>
                  <c:y val="0.171214266086775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5764428817467E-3"/>
                  <c:y val="1.260600547675222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894749337237368E-2"/>
                  <c:y val="1.692047377326565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1721</c:v>
                </c:pt>
                <c:pt idx="1">
                  <c:v>3235</c:v>
                </c:pt>
                <c:pt idx="2">
                  <c:v>2099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3982039980851446"/>
          <c:y val="4.6334460899968732E-2"/>
          <c:w val="0.33887757660865647"/>
          <c:h val="0.8910823692164833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рынком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3.3841402354826126E-2"/>
                  <c:y val="7.7831729367162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4419</c:v>
                </c:pt>
                <c:pt idx="1">
                  <c:v>1339</c:v>
                </c:pt>
                <c:pt idx="2">
                  <c:v>1036</c:v>
                </c:pt>
                <c:pt idx="3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5868928733305927"/>
          <c:y val="1.8198818897637793E-2"/>
          <c:w val="0.39920768212130586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3016264533198413E-2"/>
          <c:y val="4.3888159813356663E-2"/>
          <c:w val="0.52615838682815252"/>
          <c:h val="0.909815543890347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конкуренция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3"/>
              <c:layout>
                <c:manualLayout>
                  <c:x val="5.4131233595800528E-2"/>
                  <c:y val="6.22674305789597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07704323968567E-2"/>
                  <c:y val="0.114074074074074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высокая</c:v>
                </c:pt>
                <c:pt idx="1">
                  <c:v>высокая</c:v>
                </c:pt>
                <c:pt idx="2">
                  <c:v>умеренная</c:v>
                </c:pt>
                <c:pt idx="3">
                  <c:v>слабая</c:v>
                </c:pt>
                <c:pt idx="4">
                  <c:v>нет совсем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5868928733305927"/>
          <c:y val="1.8198818897637793E-2"/>
          <c:w val="0.39920768212130586"/>
          <c:h val="0.934667177019539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966736727630163E-2"/>
          <c:y val="6.5959952885747936E-2"/>
          <c:w val="0.5101987849128421"/>
          <c:h val="0.905016925887797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dPt>
            <c:idx val="0"/>
            <c:bubble3D val="0"/>
            <c:spPr>
              <a:solidFill>
                <a:srgbClr val="00FF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8.1879097782099897E-2"/>
                  <c:y val="0.156637823098967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740763978207902E-2"/>
                  <c:y val="7.83921797761145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7435695538057742E-2"/>
                  <c:y val="1.700680272108843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изыточно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1680</c:v>
                </c:pt>
                <c:pt idx="1">
                  <c:v>2767</c:v>
                </c:pt>
                <c:pt idx="2">
                  <c:v>2451</c:v>
                </c:pt>
                <c:pt idx="3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039107611548563"/>
          <c:y val="7.4085917831699613E-2"/>
          <c:w val="0.30781299212598423"/>
          <c:h val="0.8472901601585516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65000"/>
        </a:sysClr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E39B-C4AA-443C-8D9E-A2F04E4F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13590</Words>
  <Characters>77469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Игнатенко </cp:lastModifiedBy>
  <cp:revision>3</cp:revision>
  <cp:lastPrinted>2017-02-10T06:28:00Z</cp:lastPrinted>
  <dcterms:created xsi:type="dcterms:W3CDTF">2017-02-16T10:35:00Z</dcterms:created>
  <dcterms:modified xsi:type="dcterms:W3CDTF">2017-02-16T10:44:00Z</dcterms:modified>
</cp:coreProperties>
</file>