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4A" w:rsidRPr="009B7B4A" w:rsidRDefault="009B7B4A" w:rsidP="009B7B4A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9B7B4A">
        <w:rPr>
          <w:sz w:val="28"/>
          <w:szCs w:val="28"/>
        </w:rPr>
        <w:t xml:space="preserve">Приложение № </w:t>
      </w:r>
      <w:r w:rsidRPr="009B7B4A">
        <w:rPr>
          <w:sz w:val="28"/>
          <w:szCs w:val="28"/>
        </w:rPr>
        <w:fldChar w:fldCharType="begin" w:fldLock="1"/>
      </w:r>
      <w:r w:rsidRPr="009B7B4A">
        <w:rPr>
          <w:sz w:val="28"/>
          <w:szCs w:val="28"/>
        </w:rPr>
        <w:instrText xml:space="preserve"> REF _ref_1-9826518fc4c94d \h \n \!  \* MERGEFORMAT </w:instrText>
      </w:r>
      <w:r w:rsidRPr="009B7B4A">
        <w:rPr>
          <w:sz w:val="28"/>
          <w:szCs w:val="28"/>
        </w:rPr>
      </w:r>
      <w:r w:rsidRPr="009B7B4A">
        <w:rPr>
          <w:sz w:val="28"/>
          <w:szCs w:val="28"/>
        </w:rPr>
        <w:fldChar w:fldCharType="separate"/>
      </w:r>
      <w:r w:rsidRPr="009B7B4A">
        <w:rPr>
          <w:sz w:val="28"/>
          <w:szCs w:val="28"/>
        </w:rPr>
        <w:t>7</w:t>
      </w:r>
      <w:r w:rsidRPr="009B7B4A">
        <w:rPr>
          <w:sz w:val="28"/>
          <w:szCs w:val="28"/>
        </w:rPr>
        <w:fldChar w:fldCharType="end"/>
      </w:r>
      <w:r w:rsidRPr="009B7B4A">
        <w:rPr>
          <w:sz w:val="28"/>
          <w:szCs w:val="28"/>
        </w:rPr>
        <w:br/>
        <w:t>к Учетной политике</w:t>
      </w:r>
      <w:r w:rsidRPr="009B7B4A">
        <w:rPr>
          <w:sz w:val="28"/>
          <w:szCs w:val="28"/>
        </w:rPr>
        <w:br/>
        <w:t>для целей бюджетного учета</w:t>
      </w:r>
    </w:p>
    <w:p w:rsidR="009B7B4A" w:rsidRPr="009B7B4A" w:rsidRDefault="009B7B4A" w:rsidP="009B7B4A">
      <w:pPr>
        <w:pStyle w:val="a3"/>
        <w:rPr>
          <w:szCs w:val="28"/>
        </w:rPr>
      </w:pPr>
      <w:bookmarkStart w:id="1" w:name="_docStart_9"/>
      <w:bookmarkStart w:id="2" w:name="_title_9"/>
      <w:bookmarkStart w:id="3" w:name="_ref_1-9826518fc4c94d"/>
      <w:bookmarkEnd w:id="1"/>
      <w:r w:rsidRPr="009B7B4A">
        <w:rPr>
          <w:szCs w:val="28"/>
        </w:rPr>
        <w:t>Положение о комиссии по поступлению и выбытию активов</w:t>
      </w:r>
      <w:bookmarkEnd w:id="2"/>
      <w:bookmarkEnd w:id="3"/>
    </w:p>
    <w:p w:rsidR="009B7B4A" w:rsidRPr="009B7B4A" w:rsidRDefault="009B7B4A" w:rsidP="009B7B4A">
      <w:pPr>
        <w:pStyle w:val="heading1normal"/>
        <w:numPr>
          <w:ilvl w:val="0"/>
          <w:numId w:val="2"/>
        </w:numPr>
        <w:spacing w:line="240" w:lineRule="auto"/>
        <w:contextualSpacing/>
        <w:jc w:val="center"/>
        <w:rPr>
          <w:sz w:val="28"/>
          <w:szCs w:val="28"/>
        </w:rPr>
      </w:pPr>
      <w:bookmarkStart w:id="4" w:name="_ref_1-730c13f5d6754b"/>
      <w:r w:rsidRPr="009B7B4A">
        <w:rPr>
          <w:b/>
          <w:sz w:val="28"/>
          <w:szCs w:val="28"/>
        </w:rPr>
        <w:t>Общие положения</w:t>
      </w:r>
      <w:bookmarkEnd w:id="4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5" w:name="_ref_1-d9408a4ce3414b"/>
      <w:r w:rsidRPr="009B7B4A">
        <w:rPr>
          <w:sz w:val="28"/>
          <w:szCs w:val="28"/>
        </w:rPr>
        <w:t xml:space="preserve">Состав комиссии по поступлению и выбытию активов (далее - комиссия) утверждается </w:t>
      </w:r>
      <w:bookmarkEnd w:id="5"/>
      <w:r w:rsidRPr="009B7B4A">
        <w:rPr>
          <w:sz w:val="28"/>
          <w:szCs w:val="28"/>
        </w:rPr>
        <w:t>приказом директора департамента.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6" w:name="_ref_1-ad8f7e61107541"/>
      <w:r w:rsidRPr="009B7B4A">
        <w:rPr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6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7" w:name="_ref_1-f64c966bc47f4a"/>
      <w:r w:rsidRPr="009B7B4A">
        <w:rPr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bookmarkEnd w:id="7"/>
      <w:r w:rsidRPr="009B7B4A">
        <w:rPr>
          <w:sz w:val="28"/>
          <w:szCs w:val="28"/>
        </w:rPr>
        <w:t>год.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8" w:name="_ref_1-343e35a4464349"/>
      <w:r w:rsidRPr="009B7B4A">
        <w:rPr>
          <w:sz w:val="28"/>
          <w:szCs w:val="28"/>
        </w:rPr>
        <w:t>Срок рассмотрения комиссией представленных ей документов не должен превышать 14 календарных дней.</w:t>
      </w:r>
      <w:bookmarkEnd w:id="8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9" w:name="_ref_1-4d91984cd6714a"/>
      <w:r w:rsidRPr="009B7B4A">
        <w:rPr>
          <w:sz w:val="28"/>
          <w:szCs w:val="28"/>
        </w:rPr>
        <w:t>Заседание комиссии правомочно при наличии не менее 2/3 ее состава.</w:t>
      </w:r>
      <w:bookmarkEnd w:id="9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0" w:name="_ref_1-ae15b97ef0f244"/>
      <w:r w:rsidRPr="009B7B4A">
        <w:rPr>
          <w:sz w:val="28"/>
          <w:szCs w:val="28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10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1" w:name="_ref_1-f37bc9296ab44c"/>
      <w:r w:rsidRPr="009B7B4A">
        <w:rPr>
          <w:sz w:val="28"/>
          <w:szCs w:val="28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11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2" w:name="_ref_1-71dd3479e9064d"/>
      <w:r w:rsidRPr="009B7B4A">
        <w:rPr>
          <w:sz w:val="28"/>
          <w:szCs w:val="28"/>
        </w:rP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2"/>
    </w:p>
    <w:p w:rsidR="009B7B4A" w:rsidRPr="009B7B4A" w:rsidRDefault="009B7B4A" w:rsidP="009B7B4A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13" w:name="_ref_1-ce6efbf8fb6e47"/>
      <w:r w:rsidRPr="009B7B4A">
        <w:rPr>
          <w:b/>
          <w:sz w:val="28"/>
          <w:szCs w:val="28"/>
        </w:rPr>
        <w:t>Принятие решений по поступлению активов</w:t>
      </w:r>
      <w:bookmarkEnd w:id="13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4" w:name="_ref_1-40d79934ff424c"/>
      <w:r w:rsidRPr="009B7B4A">
        <w:rPr>
          <w:sz w:val="28"/>
          <w:szCs w:val="28"/>
        </w:rPr>
        <w:t>В части поступления активов комиссия принимает решения по следующим вопросам:</w:t>
      </w:r>
      <w:bookmarkEnd w:id="14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физическое принятие активов в случаях, прямо предусмотренных внутренними актами организации;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определение первоначальной стоимости и метода амортизации поступивших объектов нефинансовых активов;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lastRenderedPageBreak/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5" w:name="_ref_1-53723f9e442a4f"/>
      <w:r w:rsidRPr="009B7B4A">
        <w:rPr>
          <w:sz w:val="28"/>
          <w:szCs w:val="28"/>
        </w:rP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5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6" w:name="_ref_1-34adf91607fa4e"/>
      <w:r w:rsidRPr="009B7B4A">
        <w:rPr>
          <w:sz w:val="28"/>
          <w:szCs w:val="28"/>
        </w:rPr>
        <w:t>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бюджетному учету.</w:t>
      </w:r>
      <w:bookmarkEnd w:id="16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7" w:name="_ref_1-ec210956aaf046"/>
      <w:r w:rsidRPr="009B7B4A">
        <w:rPr>
          <w:sz w:val="28"/>
          <w:szCs w:val="28"/>
        </w:rP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17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7" w:history="1">
        <w:r w:rsidRPr="009B7B4A">
          <w:rPr>
            <w:rStyle w:val="a9"/>
            <w:color w:val="auto"/>
            <w:sz w:val="28"/>
            <w:szCs w:val="28"/>
          </w:rPr>
          <w:t>(ф. 0504103)</w:t>
        </w:r>
      </w:hyperlink>
      <w:r w:rsidRPr="009B7B4A">
        <w:rPr>
          <w:sz w:val="28"/>
          <w:szCs w:val="28"/>
        </w:rP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8" w:history="1">
        <w:r w:rsidRPr="009B7B4A">
          <w:rPr>
            <w:rStyle w:val="a9"/>
            <w:color w:val="auto"/>
            <w:sz w:val="28"/>
            <w:szCs w:val="28"/>
          </w:rPr>
          <w:t>(ф. 0504103)</w:t>
        </w:r>
      </w:hyperlink>
      <w:r w:rsidRPr="009B7B4A">
        <w:rPr>
          <w:sz w:val="28"/>
          <w:szCs w:val="28"/>
        </w:rPr>
        <w:t>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8" w:name="_ref_1-cb293971feb940"/>
      <w:r w:rsidRPr="009B7B4A">
        <w:rPr>
          <w:sz w:val="28"/>
          <w:szCs w:val="28"/>
        </w:rPr>
        <w:t>Поступление нефинансовых активов комиссия оформляет следующими первичными учетными документами:</w:t>
      </w:r>
      <w:bookmarkEnd w:id="18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lastRenderedPageBreak/>
        <w:t xml:space="preserve">- Актом о приеме-передаче объектов нефинансовых активов </w:t>
      </w:r>
      <w:hyperlink r:id="rId9" w:history="1">
        <w:r w:rsidRPr="009B7B4A">
          <w:rPr>
            <w:rStyle w:val="a9"/>
            <w:color w:val="auto"/>
            <w:sz w:val="28"/>
            <w:szCs w:val="28"/>
          </w:rPr>
          <w:t>(ф. 0504101)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Приходным ордером на приемку материальных ценностей (нефинансовых активов) </w:t>
      </w:r>
      <w:hyperlink r:id="rId10" w:history="1">
        <w:r w:rsidRPr="009B7B4A">
          <w:rPr>
            <w:rStyle w:val="a9"/>
            <w:color w:val="auto"/>
            <w:sz w:val="28"/>
            <w:szCs w:val="28"/>
          </w:rPr>
          <w:t>(ф. 0504207)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Актом приемки материалов (материальных ценностей) </w:t>
      </w:r>
      <w:hyperlink r:id="rId11" w:history="1">
        <w:r w:rsidRPr="009B7B4A">
          <w:rPr>
            <w:rStyle w:val="a9"/>
            <w:color w:val="auto"/>
            <w:sz w:val="28"/>
            <w:szCs w:val="28"/>
          </w:rPr>
          <w:t>(ф. 0504220)</w:t>
        </w:r>
      </w:hyperlink>
      <w:r w:rsidRPr="009B7B4A">
        <w:rPr>
          <w:sz w:val="28"/>
          <w:szCs w:val="28"/>
        </w:rPr>
        <w:t>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9" w:name="_ref_1-401de02538a64e"/>
      <w:r w:rsidRPr="009B7B4A">
        <w:rPr>
          <w:sz w:val="28"/>
          <w:szCs w:val="28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9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0" w:name="_ref_1-82062f1eea1643"/>
      <w:r w:rsidRPr="009B7B4A">
        <w:rPr>
          <w:sz w:val="28"/>
          <w:szCs w:val="28"/>
        </w:rPr>
        <w:t>Присвоенный объекту инвентарный номер наносится лицом, ответственным за сохранность или использование по назначению объекта имущества (далее – ответственное лицо) в присутствии уполномоченного члена комиссии в порядке, определенном Учетной политикой.</w:t>
      </w:r>
      <w:bookmarkEnd w:id="20"/>
    </w:p>
    <w:p w:rsidR="009B7B4A" w:rsidRPr="009B7B4A" w:rsidRDefault="009B7B4A" w:rsidP="009B7B4A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21" w:name="_ref_1-709562455cd140"/>
      <w:r w:rsidRPr="009B7B4A">
        <w:rPr>
          <w:b/>
          <w:sz w:val="28"/>
          <w:szCs w:val="28"/>
        </w:rPr>
        <w:t>Принятие решений по выбытию (списанию) активов и списанию задолженности неплатежеспособных дебиторов</w:t>
      </w:r>
      <w:bookmarkEnd w:id="21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2" w:name="_ref_1-0f33135fa9dc41"/>
      <w:r w:rsidRPr="009B7B4A">
        <w:rPr>
          <w:sz w:val="28"/>
          <w:szCs w:val="28"/>
        </w:rPr>
        <w:t>В части выбытия (списания) активов и задолженности комиссия принимает решения по следующим вопросам:</w:t>
      </w:r>
      <w:bookmarkEnd w:id="22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 частичной ликвидации (разукомплектации) основных средств и об определении стоимости выбывающей части актива при его частичной ликвидации;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 пригодности дальнейшего использования имущества, возможности и эффективности его восстановления;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 списании задолженности неплатежеспособных дебиторов, а также списании с забалансового учета задолженности, признанной безнадежной к взысканию.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3" w:name="_ref_1-10da220bba944c"/>
      <w:r w:rsidRPr="009B7B4A">
        <w:rPr>
          <w:sz w:val="28"/>
          <w:szCs w:val="28"/>
        </w:rPr>
        <w:t>Решение о выбытии имущества принимается, если оно:</w:t>
      </w:r>
      <w:bookmarkEnd w:id="23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lastRenderedPageBreak/>
        <w:t>- в других случаях, предусмотренных законодательством РФ.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4" w:name="_ref_1-2136b8f103da49"/>
      <w:r w:rsidRPr="009B7B4A">
        <w:rPr>
          <w:sz w:val="28"/>
          <w:szCs w:val="28"/>
        </w:rPr>
        <w:t>Решение о списании имущества принимается комиссией после проведения следующих мероприятий:</w:t>
      </w:r>
      <w:bookmarkEnd w:id="24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- подготовка документов, необходимых для принятия решения о списании имущества.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5" w:name="_ref_1-9d750e63e17740"/>
      <w:r w:rsidRPr="009B7B4A">
        <w:rPr>
          <w:sz w:val="28"/>
          <w:szCs w:val="28"/>
        </w:rP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  <w:bookmarkEnd w:id="25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6" w:name="_ref_1-cef0bbd8b7d945"/>
      <w:r w:rsidRPr="009B7B4A">
        <w:rPr>
          <w:sz w:val="28"/>
          <w:szCs w:val="28"/>
        </w:rPr>
        <w:t>Выбытие (списание) нефинансовых активов оформляется следующими документами:</w:t>
      </w:r>
      <w:bookmarkEnd w:id="26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 о приеме-передаче объектов нефинансовых активов </w:t>
      </w:r>
      <w:hyperlink r:id="rId12" w:history="1">
        <w:r w:rsidRPr="009B7B4A">
          <w:rPr>
            <w:rStyle w:val="a9"/>
            <w:color w:val="auto"/>
            <w:sz w:val="28"/>
            <w:szCs w:val="28"/>
          </w:rPr>
          <w:t>(ф. 0504101)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 о списании объектов нефинансовых активов (кроме транспортных средств) </w:t>
      </w:r>
      <w:hyperlink r:id="rId13" w:history="1">
        <w:r w:rsidRPr="009B7B4A">
          <w:rPr>
            <w:rStyle w:val="a9"/>
            <w:color w:val="auto"/>
            <w:sz w:val="28"/>
            <w:szCs w:val="28"/>
          </w:rPr>
          <w:t>(ф. 0504104)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 о списании транспортного средства </w:t>
      </w:r>
      <w:hyperlink r:id="rId14" w:history="1">
        <w:r w:rsidRPr="009B7B4A">
          <w:rPr>
            <w:rStyle w:val="a9"/>
            <w:color w:val="auto"/>
            <w:sz w:val="28"/>
            <w:szCs w:val="28"/>
          </w:rPr>
          <w:t>(ф. 0504105)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 о списании мягкого и хозяйственного инвентаря </w:t>
      </w:r>
      <w:hyperlink r:id="rId15" w:history="1">
        <w:r w:rsidRPr="009B7B4A">
          <w:rPr>
            <w:rStyle w:val="a9"/>
            <w:color w:val="auto"/>
            <w:sz w:val="28"/>
            <w:szCs w:val="28"/>
          </w:rPr>
          <w:t>(ф. 0504143)</w:t>
        </w:r>
      </w:hyperlink>
      <w:r w:rsidRPr="009B7B4A">
        <w:rPr>
          <w:sz w:val="28"/>
          <w:szCs w:val="28"/>
        </w:rPr>
        <w:t>;</w:t>
      </w:r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 xml:space="preserve">- Акт о списании материальных запасов </w:t>
      </w:r>
      <w:hyperlink r:id="rId16" w:history="1">
        <w:r w:rsidRPr="009B7B4A">
          <w:rPr>
            <w:rStyle w:val="a9"/>
            <w:color w:val="auto"/>
            <w:sz w:val="28"/>
            <w:szCs w:val="28"/>
          </w:rPr>
          <w:t>(ф. 0504230)</w:t>
        </w:r>
      </w:hyperlink>
      <w:r w:rsidRPr="009B7B4A">
        <w:rPr>
          <w:sz w:val="28"/>
          <w:szCs w:val="28"/>
        </w:rPr>
        <w:t>.</w:t>
      </w:r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7" w:name="_ref_1-7948bb732b2f40"/>
      <w:r w:rsidRPr="009B7B4A">
        <w:rPr>
          <w:sz w:val="28"/>
          <w:szCs w:val="28"/>
        </w:rPr>
        <w:t>Оформленный комиссией акт о списании имущества утверждается руководителем.</w:t>
      </w:r>
      <w:bookmarkEnd w:id="27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8" w:name="_ref_1-3a6cdded410d42"/>
      <w:r w:rsidRPr="009B7B4A">
        <w:rPr>
          <w:sz w:val="28"/>
          <w:szCs w:val="28"/>
        </w:rP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8"/>
    </w:p>
    <w:p w:rsidR="009B7B4A" w:rsidRPr="009B7B4A" w:rsidRDefault="009B7B4A" w:rsidP="009B7B4A">
      <w:pPr>
        <w:spacing w:line="240" w:lineRule="auto"/>
        <w:contextualSpacing/>
        <w:rPr>
          <w:sz w:val="28"/>
          <w:szCs w:val="28"/>
        </w:rPr>
      </w:pPr>
      <w:r w:rsidRPr="009B7B4A">
        <w:rPr>
          <w:sz w:val="28"/>
          <w:szCs w:val="28"/>
        </w:rP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9B7B4A" w:rsidRPr="009B7B4A" w:rsidRDefault="009B7B4A" w:rsidP="009B7B4A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29" w:name="_ref_1-5350bc91b37843"/>
      <w:r w:rsidRPr="009B7B4A">
        <w:rPr>
          <w:b/>
          <w:sz w:val="28"/>
          <w:szCs w:val="28"/>
        </w:rPr>
        <w:t>Принятие решений по вопросам обесценения активов</w:t>
      </w:r>
      <w:bookmarkEnd w:id="29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0" w:name="_ref_1-3c69f47ac15142"/>
      <w:r w:rsidRPr="009B7B4A">
        <w:rPr>
          <w:sz w:val="28"/>
          <w:szCs w:val="28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30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1" w:name="_ref_1-5a71594073a64f"/>
      <w:r w:rsidRPr="009B7B4A">
        <w:rPr>
          <w:sz w:val="28"/>
          <w:szCs w:val="28"/>
        </w:rPr>
        <w:lastRenderedPageBreak/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31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2" w:name="_ref_1-d09e0e10960044"/>
      <w:r w:rsidRPr="009B7B4A">
        <w:rPr>
          <w:sz w:val="28"/>
          <w:szCs w:val="28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32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3" w:name="_ref_1-5d1bf8169d7543"/>
      <w:r w:rsidRPr="009B7B4A">
        <w:rPr>
          <w:sz w:val="28"/>
          <w:szCs w:val="28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33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4" w:name="_ref_1-5a5eeb145efd48"/>
      <w:r w:rsidRPr="009B7B4A">
        <w:rPr>
          <w:sz w:val="28"/>
          <w:szCs w:val="28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4"/>
    </w:p>
    <w:p w:rsidR="009B7B4A" w:rsidRP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5" w:name="_ref_1-1dd3d351c24e43"/>
      <w:r w:rsidRPr="009B7B4A">
        <w:rPr>
          <w:sz w:val="28"/>
          <w:szCs w:val="28"/>
        </w:rPr>
        <w:t>В представление могут быть включены рекомендации комиссии по дальнейшему использованию имущества.</w:t>
      </w:r>
      <w:bookmarkEnd w:id="35"/>
    </w:p>
    <w:p w:rsidR="009B7B4A" w:rsidRDefault="009B7B4A" w:rsidP="009B7B4A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6" w:name="_ref_1-dcc4da22e8d040"/>
      <w:r w:rsidRPr="009B7B4A">
        <w:rPr>
          <w:sz w:val="28"/>
          <w:szCs w:val="28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7" w:name="_docEnd_9"/>
      <w:bookmarkEnd w:id="36"/>
      <w:bookmarkEnd w:id="37"/>
    </w:p>
    <w:p w:rsidR="00C977B4" w:rsidRDefault="00C977B4" w:rsidP="00C977B4"/>
    <w:p w:rsidR="00C977B4" w:rsidRDefault="00C977B4" w:rsidP="00C9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учёта и</w:t>
      </w:r>
    </w:p>
    <w:p w:rsidR="00C977B4" w:rsidRDefault="00C977B4" w:rsidP="00C9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отчётности                                                                                       </w:t>
      </w:r>
      <w:r w:rsidR="001C7F5A">
        <w:rPr>
          <w:sz w:val="28"/>
          <w:szCs w:val="28"/>
        </w:rPr>
        <w:t>Е.И.Грызлова</w:t>
      </w:r>
    </w:p>
    <w:p w:rsidR="00C977B4" w:rsidRDefault="00C977B4" w:rsidP="00C977B4">
      <w:pPr>
        <w:rPr>
          <w:sz w:val="28"/>
          <w:szCs w:val="28"/>
        </w:rPr>
      </w:pPr>
    </w:p>
    <w:p w:rsidR="00C977B4" w:rsidRPr="00C977B4" w:rsidRDefault="00C977B4" w:rsidP="00C977B4"/>
    <w:sectPr w:rsidR="00C977B4" w:rsidRPr="00C977B4" w:rsidSect="00FA0944">
      <w:footerReference w:type="first" r:id="rId17"/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EA" w:rsidRDefault="00FA7AEA" w:rsidP="009B7B4A">
      <w:pPr>
        <w:spacing w:before="0" w:after="0" w:line="240" w:lineRule="auto"/>
      </w:pPr>
      <w:r>
        <w:separator/>
      </w:r>
    </w:p>
  </w:endnote>
  <w:endnote w:type="continuationSeparator" w:id="0">
    <w:p w:rsidR="00FA7AEA" w:rsidRDefault="00FA7AEA" w:rsidP="009B7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F8" w:rsidRDefault="004010C7">
    <w:pPr>
      <w:pStyle w:val="a7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9B7B4A">
      <w:rPr>
        <w:noProof/>
      </w:rPr>
      <w:t>1</w:t>
    </w:r>
    <w:r>
      <w:rPr>
        <w:noProof/>
      </w:rPr>
      <w:fldChar w:fldCharType="end"/>
    </w:r>
    <w:r>
      <w:t xml:space="preserve"> из </w:t>
    </w:r>
    <w:r w:rsidR="00FA7AEA">
      <w:fldChar w:fldCharType="begin"/>
    </w:r>
    <w:r w:rsidR="00FA7AEA">
      <w:instrText xml:space="preserve"> SECTIONPAGES </w:instrText>
    </w:r>
    <w:r w:rsidR="00FA7AEA">
      <w:fldChar w:fldCharType="separate"/>
    </w:r>
    <w:r w:rsidR="009B7B4A">
      <w:rPr>
        <w:noProof/>
      </w:rPr>
      <w:t>5</w:t>
    </w:r>
    <w:r w:rsidR="00FA7A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EA" w:rsidRDefault="00FA7AEA" w:rsidP="009B7B4A">
      <w:pPr>
        <w:spacing w:before="0" w:after="0" w:line="240" w:lineRule="auto"/>
      </w:pPr>
      <w:r>
        <w:separator/>
      </w:r>
    </w:p>
  </w:footnote>
  <w:footnote w:type="continuationSeparator" w:id="0">
    <w:p w:rsidR="00FA7AEA" w:rsidRDefault="00FA7AEA" w:rsidP="009B7B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81"/>
    <w:rsid w:val="000F0FAD"/>
    <w:rsid w:val="0016049A"/>
    <w:rsid w:val="001C7F5A"/>
    <w:rsid w:val="002633D4"/>
    <w:rsid w:val="004010C7"/>
    <w:rsid w:val="007A0E5D"/>
    <w:rsid w:val="009718B0"/>
    <w:rsid w:val="009B7B4A"/>
    <w:rsid w:val="00A91081"/>
    <w:rsid w:val="00C977B4"/>
    <w:rsid w:val="00F13102"/>
    <w:rsid w:val="00FA0944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2547-6E24-45F1-8AD6-789AC761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4A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B7B4A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"/>
    <w:uiPriority w:val="9"/>
    <w:qFormat/>
    <w:rsid w:val="009B7B4A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B7B4A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B7B4A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B7B4A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B7B4A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B7B4A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B7B4A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B7B4A"/>
    <w:pPr>
      <w:numPr>
        <w:ilvl w:val="8"/>
        <w:numId w:val="1"/>
      </w:numPr>
      <w:outlineLvl w:val="8"/>
    </w:pPr>
  </w:style>
  <w:style w:type="character" w:customStyle="1" w:styleId="2">
    <w:name w:val="Заголовок 2 Знак"/>
    <w:basedOn w:val="a0"/>
    <w:link w:val="heading2normal"/>
    <w:uiPriority w:val="9"/>
    <w:rsid w:val="009B7B4A"/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9B7B4A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9B7B4A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9B7B4A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B7B4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7B4A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B7B4A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Hyperlink"/>
    <w:unhideWhenUsed/>
    <w:rsid w:val="009B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3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2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9BC98E255BD5FCEE95C0059338499B9D4E29600D213292d3R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10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14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Грызлова Елена Ивановна</cp:lastModifiedBy>
  <cp:revision>2</cp:revision>
  <dcterms:created xsi:type="dcterms:W3CDTF">2024-05-02T10:49:00Z</dcterms:created>
  <dcterms:modified xsi:type="dcterms:W3CDTF">2024-05-02T10:49:00Z</dcterms:modified>
</cp:coreProperties>
</file>