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tabs>
          <w:tab w:val="left" w:pos="7655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АКТ №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cs="PT Astra Serif"/>
          <w:szCs w:val="28"/>
        </w:rPr>
      </w:r>
    </w:p>
    <w:p>
      <w:pPr>
        <w:ind w:firstLine="0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по итогам проведения плановой проверки соблюдения</w:t>
      </w:r>
      <w:r>
        <w:rPr>
          <w:rFonts w:ascii="PT Astra Serif" w:hAnsi="PT Astra Serif" w:cs="PT Astra Serif"/>
          <w:szCs w:val="28"/>
        </w:rPr>
      </w:r>
    </w:p>
    <w:p>
      <w:pPr>
        <w:ind w:firstLine="0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администрацией Калининского сельского округа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PT Astra Serif" w:hAnsi="PT Astra Serif" w:cs="PT Astra Serif"/>
          <w:szCs w:val="28"/>
        </w:rPr>
      </w:r>
    </w:p>
    <w:p>
      <w:pPr>
        <w:ind w:firstLine="0"/>
        <w:jc w:val="center"/>
        <w:tabs>
          <w:tab w:val="left" w:pos="7938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0"/>
        <w:jc w:val="center"/>
        <w:tabs>
          <w:tab w:val="left" w:pos="7938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0"/>
        <w:tabs>
          <w:tab w:val="left" w:pos="7938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9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4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                               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                             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                               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г. Краснодар</w:t>
      </w:r>
      <w:r>
        <w:rPr>
          <w:rFonts w:ascii="PT Astra Serif" w:hAnsi="PT Astra Serif" w:cs="PT Astra Serif"/>
          <w:szCs w:val="28"/>
        </w:rPr>
      </w:r>
    </w:p>
    <w:p>
      <w:pPr>
        <w:ind w:firstLine="851"/>
        <w:tabs>
          <w:tab w:val="left" w:pos="7938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В соответствии с распоряжением администрации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от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03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4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№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9</w:t>
      </w:r>
      <w:r>
        <w:rPr>
          <w:rFonts w:ascii="PT Astra Serif" w:hAnsi="PT Astra Serif" w:eastAsia="PT Astra Serif" w:cs="PT Astra Serif"/>
        </w:rPr>
        <w:t xml:space="preserve">-р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 проведении плановой проверки соблюдения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администрацией Калининского сельского округа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требований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законодательства Российской Федерации и иных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нормативных правовых актов о контрактной системе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в сфере закупок товаров, работ, услуг для обеспечения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государственных и муниципальных нужд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»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и на основании Плана провед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для обеспечения государственных и муниципальных нужд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на 202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4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год, утверждённого главой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Е.М.Наумовым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.12.202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3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комиссией управления экономики администрации муниципального образования город Краснодар в составе: 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начальника отдела контроля закупок управления экономики администрации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Е.А.Глазкова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руководителя комиссии;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заместителя начальника отдела контроля закупок управления экономики администрации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О.Н.Котовой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заместителя руководителя комиссии;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главного специалиста отдела контроля закупок управления экономики администрации муниципального образования город Краснодар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Н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Г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Горобец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члена комиссии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;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главного специалиста отдела контроля закупок управления экономики администрации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В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Н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Полякова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члена комиссии,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проведена плановая</w:t>
      </w:r>
      <w:r>
        <w:rPr>
          <w:rFonts w:ascii="PT Astra Serif" w:hAnsi="PT Astra Serif" w:eastAsia="PT Astra Serif" w:cs="PT Astra Serif"/>
          <w:i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проверка соблюдения требований законодательства Российской Федерации и иных нормативных правовых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актов о контрактной системе в сфере закупок товаров, работ, услуг для обеспечения государственных и муниципальных нужд </w:t>
      </w:r>
      <w:r>
        <w:rPr>
          <w:rFonts w:ascii="PT Astra Serif" w:hAnsi="PT Astra Serif" w:eastAsia="PT Astra Serif" w:cs="PT Astra Serif"/>
          <w:szCs w:val="28"/>
        </w:rPr>
        <w:t xml:space="preserve">администрацией Калининского сельского округа</w:t>
      </w:r>
      <w:r>
        <w:rPr>
          <w:rFonts w:ascii="PT Astra Serif" w:hAnsi="PT Astra Serif" w:eastAsia="PT Astra Serif" w:cs="PT Astra Serif"/>
          <w:szCs w:val="28"/>
        </w:rPr>
        <w:t xml:space="preserve">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Основание проведения проверки: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пункт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>
        <w:rPr>
          <w:rFonts w:ascii="PT Astra Serif" w:hAnsi="PT Astra Serif" w:eastAsia="PT Astra Serif" w:cs="PT Astra Serif"/>
          <w:szCs w:val="28"/>
          <w:lang w:eastAsia="ru-RU"/>
        </w:rPr>
        <w:br/>
        <w:t xml:space="preserve">(все нормы, цитируемые в настоящем акте, приведены в редакции,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действовавшей в момент возникновения у заказчика соответствующих обязанностей).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Цель проведения проверки: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</w:t>
      </w:r>
      <w:r>
        <w:rPr>
          <w:rFonts w:ascii="PT Astra Serif" w:hAnsi="PT Astra Serif" w:eastAsia="PT Astra Serif" w:cs="PT Astra Serif"/>
          <w:szCs w:val="28"/>
        </w:rPr>
        <w:t xml:space="preserve">администраци</w:t>
      </w:r>
      <w:r>
        <w:rPr>
          <w:rFonts w:ascii="PT Astra Serif" w:hAnsi="PT Astra Serif" w:eastAsia="PT Astra Serif" w:cs="PT Astra Serif"/>
          <w:szCs w:val="28"/>
        </w:rPr>
        <w:t xml:space="preserve">и</w:t>
      </w:r>
      <w:r>
        <w:rPr>
          <w:rFonts w:ascii="PT Astra Serif" w:hAnsi="PT Astra Serif" w:eastAsia="PT Astra Serif" w:cs="PT Astra Serif"/>
          <w:szCs w:val="28"/>
        </w:rPr>
        <w:t xml:space="preserve"> Калининского сельского округа</w:t>
      </w:r>
      <w:r>
        <w:rPr>
          <w:rFonts w:ascii="PT Astra Serif" w:hAnsi="PT Astra Serif" w:eastAsia="PT Astra Serif" w:cs="PT Astra Serif"/>
          <w:szCs w:val="28"/>
        </w:rPr>
        <w:t xml:space="preserve">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Сроки проведения проверки: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.2024 по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28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.2024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Период проверки: с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8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по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31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7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.2024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PT Astra Serif" w:hAnsi="PT Astra Serif" w:eastAsia="PT Astra Serif" w:cs="PT Astra Serif"/>
          <w:sz w:val="22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администрацией Калининского сельского округа</w:t>
      </w:r>
      <w:r>
        <w:rPr>
          <w:rFonts w:ascii="PT Astra Serif" w:hAnsi="PT Astra Serif" w:eastAsia="PT Astra Serif" w:cs="PT Astra Serif"/>
          <w:szCs w:val="28"/>
        </w:rPr>
        <w:t xml:space="preserve">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  <w:tab w:val="left" w:pos="7797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Субъект проверки: </w:t>
      </w:r>
      <w:r>
        <w:rPr>
          <w:rFonts w:ascii="PT Astra Serif" w:hAnsi="PT Astra Serif" w:eastAsia="PT Astra Serif" w:cs="PT Astra Serif"/>
          <w:szCs w:val="28"/>
        </w:rPr>
        <w:t xml:space="preserve">администраци</w:t>
      </w:r>
      <w:r>
        <w:rPr>
          <w:rFonts w:ascii="PT Astra Serif" w:hAnsi="PT Astra Serif" w:eastAsia="PT Astra Serif" w:cs="PT Astra Serif"/>
          <w:szCs w:val="28"/>
        </w:rPr>
        <w:t xml:space="preserve">я</w:t>
      </w:r>
      <w:r>
        <w:rPr>
          <w:rFonts w:ascii="PT Astra Serif" w:hAnsi="PT Astra Serif" w:eastAsia="PT Astra Serif" w:cs="PT Astra Serif"/>
          <w:szCs w:val="28"/>
        </w:rPr>
        <w:t xml:space="preserve"> Калининского сельского округа</w:t>
      </w:r>
      <w:r>
        <w:rPr>
          <w:rFonts w:ascii="PT Astra Serif" w:hAnsi="PT Astra Serif" w:eastAsia="PT Astra Serif" w:cs="PT Astra Serif"/>
          <w:szCs w:val="28"/>
        </w:rPr>
        <w:t xml:space="preserve"> муниципального образования город Краснодар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(далее –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Администрация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), Российская Федерация,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350901,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г. Краснодар,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ул. 1-го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М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ая, д. 230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стр. 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Администраци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я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извещен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о начале проведения выборочной плановой проверки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уведомлением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от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04.03.2024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 №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7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33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/12</w:t>
      </w:r>
      <w:r>
        <w:rPr>
          <w:rFonts w:ascii="PT Astra Serif" w:hAnsi="PT Astra Serif" w:eastAsia="PT Astra Serif" w:cs="PT Astra Serif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2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Проверка проведена выборочно путём истребования отдельных документов по закупкам товаров, работ, услуг для обеспечения муниципальных нужд в пределах проверяемого периода.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  <w:tab w:val="left" w:pos="108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709" w:leader="none"/>
          <w:tab w:val="left" w:pos="108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В результате проверки установлено следующее.</w:t>
      </w:r>
      <w:r>
        <w:rPr>
          <w:rFonts w:ascii="PT Astra Serif" w:hAnsi="PT Astra Serif" w:cs="PT Astra Serif"/>
          <w:szCs w:val="28"/>
        </w:rPr>
      </w:r>
    </w:p>
    <w:p>
      <w:pPr>
        <w:tabs>
          <w:tab w:val="left" w:pos="851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В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соответствии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с частью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статьи 38 Закона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з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аказчики, совокупный годовой объем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В случае, если совокупный годовой объем закуп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Приказами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дминистрации от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 09.08.2021 № 44-а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(в редакции приказов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             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от 18.08.2021 № 46-а, от 03.03.2022 № 22-а, от 27.05.2022 № 41-а, от 28.04.2023 № 39-а), от 05.09.2023 №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71-а, от 28.04.2023 № 39-а, от 21.11.2023 № 96-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а,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 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                  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от 23.04.2024 № 34-а, от 22.07.2024 № 68-а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создана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контрактная служба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, утверждены состав и положение о контрактной службе.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Приказами Администрации от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01.03.2022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№ 21-а «О создании единой комиссии по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осуществлению закупок администрации Калининского сельского округа муниципального образования город Краснодар» (в редакции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приказов             от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14.06.2022 № 45-а, от 01.08.2022 № 62-а, от 30.08.2022 № 68-а, от 28.04.2023 №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40-а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)</w:t>
      </w:r>
      <w:r>
        <w:rPr>
          <w:rFonts w:ascii="PT Astra Serif" w:hAnsi="PT Astra Serif" w:eastAsia="PT Astra Serif" w:cs="PT Astra Serif"/>
          <w:bCs/>
          <w:szCs w:val="28"/>
        </w:rPr>
        <w:t xml:space="preserve">,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от 05.09.2023 №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73-а,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от 26.04.2024 №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35-а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создана единая комиссия по осуществлению закупок, утверждено положение о единой комиссии по осуществлению закупок.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Приказами Администрации от 04.06.2021 № 26-а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от 01.03.2022 № 20-а, от 27.05.2022 № 42-а, от 28.04.2023 № 37-а, от 05.09.2023 № 72-а, от 26.04.2024 № 33-а 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назначен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ы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 ответственн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ые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 лиц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а</w:t>
      </w:r>
      <w:r>
        <w:rPr>
          <w:rFonts w:ascii="PT Astra Serif" w:hAnsi="PT Astra Serif" w:eastAsia="PT Astra Serif" w:cs="PT Astra Serif"/>
          <w:bCs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b/>
          <w:bCs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наделенны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правом использования цифровой электронной подписи при обмене информацией между Администрацией и электронными торговыми площадками, за сохранность ключей электронной подписи и иной ключевой информации.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Приказами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Администрации от 01.03.2022 № 19-а, от 15.06.2022 № 46-а от 01.08.2022 № 64-а от 30.08.2022 № 67-а, от 28.04.2023 № 38-а от 12.09.2023 № 75-а (в ред. приказа от 29.01.2024 № 11-а), от 26.04.2024 № 32-а, от 22.07.2024 № 69-а назначены лица, ответственные за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  <w:lang w:eastAsia="ru-RU"/>
        </w:rPr>
        <w:t xml:space="preserve">Соглашением от 31.12.2010 ведение бухгалтерского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и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налогового учета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передано Администрацией администрации 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Прикубанского</w:t>
      </w:r>
      <w:r>
        <w:rPr>
          <w:rFonts w:ascii="PT Astra Serif" w:hAnsi="PT Astra Serif" w:eastAsia="PT Astra Serif" w:cs="PT Astra Serif"/>
          <w:szCs w:val="28"/>
          <w:lang w:eastAsia="ru-RU"/>
        </w:rPr>
        <w:t xml:space="preserve"> внутригородского округа города Краснодара.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Частью 1 статьи 30 Закона установлена обязанность заказчиков осуществлять закупки у субъектов малого предпринимательства, социально ориентированных некоммерческих организаций (далее – СМП, СОНО) </w:t>
      </w:r>
      <w:r>
        <w:rPr>
          <w:rFonts w:ascii="PT Astra Serif" w:hAnsi="PT Astra Serif" w:eastAsia="PT Astra Serif" w:cs="PT Astra Serif"/>
          <w:szCs w:val="28"/>
        </w:rPr>
        <w:br/>
        <w:t xml:space="preserve">в объеме не менее чем 15 % совокупного годового объема закупок, рассчитанного с учетом части 1.1 настоящей статьи, путем проведения открытых конкурсов, конкурсов с ограниченным</w:t>
      </w:r>
      <w:r>
        <w:rPr>
          <w:rFonts w:ascii="PT Astra Serif" w:hAnsi="PT Astra Serif" w:eastAsia="PT Astra Serif" w:cs="PT Astra Serif"/>
          <w:szCs w:val="28"/>
        </w:rPr>
        <w:t xml:space="preserve">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СОНО, а также осуществления закупок с учетом положений части 5 настоящей статьи (в редакции Закона, дейст</w:t>
      </w:r>
      <w:r>
        <w:rPr>
          <w:rFonts w:ascii="PT Astra Serif" w:hAnsi="PT Astra Serif" w:eastAsia="PT Astra Serif" w:cs="PT Astra Serif"/>
          <w:szCs w:val="28"/>
        </w:rPr>
        <w:t xml:space="preserve">вовавшей до 01.01.2022); в объеме не менее чем 25% совокупного годового объема закупок, рассчитанного с учетом части 1.1 настоящей статьи, при проведении открытых конкурентных способов определения поставщиков (подрядчиков, исполнителей), в которых участник</w:t>
      </w:r>
      <w:r>
        <w:rPr>
          <w:rFonts w:ascii="PT Astra Serif" w:hAnsi="PT Astra Serif" w:eastAsia="PT Astra Serif" w:cs="PT Astra Serif"/>
          <w:szCs w:val="28"/>
        </w:rPr>
        <w:t xml:space="preserve">ами закупок являются только СМП и СОНО, а также осуществлении закупок с учетом положений части 5 настоящей статьи (в редакции Закона, действующей с 01.01.2022). При этом начальная (максимальная) цена контракта не должна превышать двадцать миллионов рублей.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</w:t>
      </w:r>
      <w:r>
        <w:rPr>
          <w:rFonts w:ascii="PT Astra Serif" w:hAnsi="PT Astra Serif" w:eastAsia="PT Astra Serif" w:cs="PT Astra Serif"/>
          <w:szCs w:val="28"/>
        </w:rPr>
        <w:br/>
      </w:r>
      <w:r>
        <w:rPr>
          <w:rFonts w:ascii="PT Astra Serif" w:hAnsi="PT Astra Serif" w:eastAsia="PT Astra Serif" w:cs="PT Astra Serif"/>
          <w:szCs w:val="28"/>
        </w:rPr>
        <w:t xml:space="preserve">за отчётным годом, разместить такой отчёт в единой информационной системе (далее – ЕИС).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силу части 4.1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Постановлением Правительства Российской Федерации от 17.03.2015 </w:t>
      </w:r>
      <w:r>
        <w:rPr>
          <w:rFonts w:ascii="PT Astra Serif" w:hAnsi="PT Astra Serif" w:eastAsia="PT Astra Serif" w:cs="PT Astra Serif"/>
          <w:szCs w:val="28"/>
        </w:rPr>
        <w:br/>
        <w:t xml:space="preserve">№ 238 утверждены соответствующие правила подготовки Отчета, его размещения в ЕИС, форма Отчета.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Отчёт за 202</w:t>
      </w:r>
      <w:r>
        <w:rPr>
          <w:rFonts w:ascii="PT Astra Serif" w:hAnsi="PT Astra Serif" w:eastAsia="PT Astra Serif" w:cs="PT Astra Serif"/>
        </w:rPr>
        <w:t xml:space="preserve">1</w:t>
      </w:r>
      <w:r>
        <w:rPr>
          <w:rFonts w:ascii="PT Astra Serif" w:hAnsi="PT Astra Serif" w:eastAsia="PT Astra Serif" w:cs="PT Astra Serif"/>
        </w:rPr>
        <w:t xml:space="preserve"> год (далее – Отчёт № </w:t>
      </w:r>
      <w:r>
        <w:rPr>
          <w:rFonts w:ascii="PT Astra Serif" w:hAnsi="PT Astra Serif" w:eastAsia="PT Astra Serif" w:cs="PT Astra Serif"/>
        </w:rPr>
        <w:t xml:space="preserve">1</w:t>
      </w:r>
      <w:r>
        <w:rPr>
          <w:rFonts w:ascii="PT Astra Serif" w:hAnsi="PT Astra Serif" w:eastAsia="PT Astra Serif" w:cs="PT Astra Serif"/>
        </w:rPr>
        <w:t xml:space="preserve">) размещён </w:t>
      </w:r>
      <w:r>
        <w:rPr>
          <w:rFonts w:ascii="PT Astra Serif" w:hAnsi="PT Astra Serif" w:eastAsia="PT Astra Serif" w:cs="PT Astra Serif"/>
        </w:rPr>
        <w:t xml:space="preserve">Администрацией</w:t>
      </w:r>
      <w:r>
        <w:rPr>
          <w:rFonts w:ascii="PT Astra Serif" w:hAnsi="PT Astra Serif" w:eastAsia="PT Astra Serif" w:cs="PT Astra Serif"/>
        </w:rPr>
        <w:t xml:space="preserve"> в ЕИС </w:t>
      </w:r>
      <w:r>
        <w:rPr>
          <w:rFonts w:ascii="PT Astra Serif" w:hAnsi="PT Astra Serif" w:eastAsia="PT Astra Serif" w:cs="PT Astra Serif"/>
        </w:rPr>
        <w:t xml:space="preserve">своевременно – </w:t>
      </w:r>
      <w:r>
        <w:rPr>
          <w:rFonts w:ascii="PT Astra Serif" w:hAnsi="PT Astra Serif" w:eastAsia="PT Astra Serif" w:cs="PT Astra Serif"/>
        </w:rPr>
        <w:t xml:space="preserve">23</w:t>
      </w:r>
      <w:r>
        <w:rPr>
          <w:rFonts w:ascii="PT Astra Serif" w:hAnsi="PT Astra Serif" w:eastAsia="PT Astra Serif" w:cs="PT Astra Serif"/>
        </w:rPr>
        <w:t xml:space="preserve">.0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.202</w:t>
      </w:r>
      <w:r>
        <w:rPr>
          <w:rFonts w:ascii="PT Astra Serif" w:hAnsi="PT Astra Serif" w:eastAsia="PT Astra Serif" w:cs="PT Astra Serif"/>
        </w:rPr>
        <w:t xml:space="preserve">2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Согласно Отчёту № 1, размещённому в ЕИС, </w:t>
      </w:r>
      <w:r>
        <w:rPr>
          <w:rFonts w:ascii="PT Astra Serif" w:hAnsi="PT Astra Serif" w:eastAsia="PT Astra Serif" w:cs="PT Astra Serif"/>
        </w:rPr>
        <w:t xml:space="preserve">Администрацией</w:t>
      </w:r>
      <w:r>
        <w:rPr>
          <w:rFonts w:ascii="PT Astra Serif" w:hAnsi="PT Astra Serif" w:eastAsia="PT Astra Serif" w:cs="PT Astra Serif"/>
        </w:rPr>
        <w:t xml:space="preserve"> в 202</w:t>
      </w:r>
      <w:r>
        <w:rPr>
          <w:rFonts w:ascii="PT Astra Serif" w:hAnsi="PT Astra Serif" w:eastAsia="PT Astra Serif" w:cs="PT Astra Serif"/>
        </w:rPr>
        <w:t xml:space="preserve">1</w:t>
      </w:r>
      <w:r>
        <w:rPr>
          <w:rFonts w:ascii="PT Astra Serif" w:hAnsi="PT Astra Serif" w:eastAsia="PT Astra Serif" w:cs="PT Astra Serif"/>
        </w:rPr>
        <w:t xml:space="preserve"> году осуществлено закупок у СМП и СОНО в объёме </w:t>
      </w:r>
      <w:r>
        <w:rPr>
          <w:rFonts w:ascii="PT Astra Serif" w:hAnsi="PT Astra Serif" w:eastAsia="PT Astra Serif" w:cs="PT Astra Serif"/>
        </w:rPr>
        <w:t xml:space="preserve">62,5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% от совокупного годового объёма закупок, что соответствует части 1 статьи 30 Закона.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Отчёт за 202</w:t>
      </w:r>
      <w:r>
        <w:rPr>
          <w:rFonts w:ascii="PT Astra Serif" w:hAnsi="PT Astra Serif" w:eastAsia="PT Astra Serif" w:cs="PT Astra Serif"/>
          <w:szCs w:val="28"/>
        </w:rPr>
        <w:t xml:space="preserve">2</w:t>
      </w:r>
      <w:r>
        <w:rPr>
          <w:rFonts w:ascii="PT Astra Serif" w:hAnsi="PT Astra Serif" w:eastAsia="PT Astra Serif" w:cs="PT Astra Serif"/>
          <w:szCs w:val="28"/>
        </w:rPr>
        <w:t xml:space="preserve"> год (далее – Отчёт № </w:t>
      </w:r>
      <w:r>
        <w:rPr>
          <w:rFonts w:ascii="PT Astra Serif" w:hAnsi="PT Astra Serif" w:eastAsia="PT Astra Serif" w:cs="PT Astra Serif"/>
          <w:szCs w:val="28"/>
        </w:rPr>
        <w:t xml:space="preserve">2</w:t>
      </w:r>
      <w:r>
        <w:rPr>
          <w:rFonts w:ascii="PT Astra Serif" w:hAnsi="PT Astra Serif" w:eastAsia="PT Astra Serif" w:cs="PT Astra Serif"/>
          <w:szCs w:val="28"/>
        </w:rPr>
        <w:t xml:space="preserve">) размещён </w:t>
      </w:r>
      <w:r>
        <w:rPr>
          <w:rFonts w:ascii="PT Astra Serif" w:hAnsi="PT Astra Serif" w:eastAsia="PT Astra Serif" w:cs="PT Astra Serif"/>
          <w:szCs w:val="28"/>
        </w:rPr>
        <w:t xml:space="preserve">Администрацией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в ЕИС своевременно – </w:t>
      </w:r>
      <w:r>
        <w:rPr>
          <w:rFonts w:ascii="PT Astra Serif" w:hAnsi="PT Astra Serif" w:eastAsia="PT Astra Serif" w:cs="PT Astra Serif"/>
          <w:szCs w:val="28"/>
        </w:rPr>
        <w:t xml:space="preserve">31</w:t>
      </w:r>
      <w:r>
        <w:rPr>
          <w:rFonts w:ascii="PT Astra Serif" w:hAnsi="PT Astra Serif" w:eastAsia="PT Astra Serif" w:cs="PT Astra Serif"/>
          <w:szCs w:val="28"/>
        </w:rPr>
        <w:t xml:space="preserve">.0</w:t>
      </w:r>
      <w:r>
        <w:rPr>
          <w:rFonts w:ascii="PT Astra Serif" w:hAnsi="PT Astra Serif" w:eastAsia="PT Astra Serif" w:cs="PT Astra Serif"/>
          <w:szCs w:val="28"/>
        </w:rPr>
        <w:t xml:space="preserve">3</w:t>
      </w:r>
      <w:r>
        <w:rPr>
          <w:rFonts w:ascii="PT Astra Serif" w:hAnsi="PT Astra Serif" w:eastAsia="PT Astra Serif" w:cs="PT Astra Serif"/>
          <w:szCs w:val="28"/>
        </w:rPr>
        <w:t xml:space="preserve">.202</w:t>
      </w:r>
      <w:r>
        <w:rPr>
          <w:rFonts w:ascii="PT Astra Serif" w:hAnsi="PT Astra Serif" w:eastAsia="PT Astra Serif" w:cs="PT Astra Serif"/>
          <w:szCs w:val="28"/>
        </w:rPr>
        <w:t xml:space="preserve">3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Согласно Отчёту № </w:t>
      </w:r>
      <w:r>
        <w:rPr>
          <w:rFonts w:ascii="PT Astra Serif" w:hAnsi="PT Astra Serif" w:eastAsia="PT Astra Serif" w:cs="PT Astra Serif"/>
          <w:szCs w:val="28"/>
        </w:rPr>
        <w:t xml:space="preserve">2</w:t>
      </w:r>
      <w:r>
        <w:rPr>
          <w:rFonts w:ascii="PT Astra Serif" w:hAnsi="PT Astra Serif" w:eastAsia="PT Astra Serif" w:cs="PT Astra Serif"/>
          <w:szCs w:val="28"/>
        </w:rPr>
        <w:t xml:space="preserve">, размещённому в ЕИС, </w:t>
      </w:r>
      <w:r>
        <w:rPr>
          <w:rFonts w:ascii="PT Astra Serif" w:hAnsi="PT Astra Serif" w:eastAsia="PT Astra Serif" w:cs="PT Astra Serif"/>
          <w:szCs w:val="28"/>
        </w:rPr>
        <w:t xml:space="preserve">Администрацией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в 202</w:t>
      </w:r>
      <w:r>
        <w:rPr>
          <w:rFonts w:ascii="PT Astra Serif" w:hAnsi="PT Astra Serif" w:eastAsia="PT Astra Serif" w:cs="PT Astra Serif"/>
          <w:szCs w:val="28"/>
        </w:rPr>
        <w:t xml:space="preserve">2</w:t>
      </w:r>
      <w:r>
        <w:rPr>
          <w:rFonts w:ascii="PT Astra Serif" w:hAnsi="PT Astra Serif" w:eastAsia="PT Astra Serif" w:cs="PT Astra Serif"/>
          <w:szCs w:val="28"/>
        </w:rPr>
        <w:t xml:space="preserve"> году осуществлено закупок у СМП и СОНО в объёме </w:t>
      </w:r>
      <w:r>
        <w:rPr>
          <w:rFonts w:ascii="PT Astra Serif" w:hAnsi="PT Astra Serif" w:eastAsia="PT Astra Serif" w:cs="PT Astra Serif"/>
          <w:szCs w:val="28"/>
        </w:rPr>
        <w:t xml:space="preserve">59,</w:t>
      </w:r>
      <w:r>
        <w:rPr>
          <w:rFonts w:ascii="PT Astra Serif" w:hAnsi="PT Astra Serif" w:eastAsia="PT Astra Serif" w:cs="PT Astra Serif"/>
          <w:szCs w:val="28"/>
        </w:rPr>
        <w:t xml:space="preserve">2 </w:t>
      </w:r>
      <w:r>
        <w:rPr>
          <w:rFonts w:ascii="PT Astra Serif" w:hAnsi="PT Astra Serif" w:eastAsia="PT Astra Serif" w:cs="PT Astra Serif"/>
          <w:szCs w:val="28"/>
        </w:rPr>
        <w:t xml:space="preserve">% от совокупного годового объёма закупок, что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соответствует </w:t>
      </w:r>
      <w:r>
        <w:rPr>
          <w:rFonts w:ascii="PT Astra Serif" w:hAnsi="PT Astra Serif" w:eastAsia="PT Astra Serif" w:cs="PT Astra Serif"/>
          <w:szCs w:val="28"/>
        </w:rPr>
        <w:t xml:space="preserve">части 1 статьи 30 Закона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Отчёт за 202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 год (далее – Отчёт №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) размещён </w:t>
      </w:r>
      <w:r>
        <w:rPr>
          <w:rFonts w:ascii="PT Astra Serif" w:hAnsi="PT Astra Serif" w:eastAsia="PT Astra Serif" w:cs="PT Astra Serif"/>
        </w:rPr>
        <w:t xml:space="preserve">Администрацией</w:t>
      </w:r>
      <w:r>
        <w:rPr>
          <w:rFonts w:ascii="PT Astra Serif" w:hAnsi="PT Astra Serif" w:eastAsia="PT Astra Serif" w:cs="PT Astra Serif"/>
        </w:rPr>
        <w:t xml:space="preserve"> в ЕИС своевременно – </w:t>
      </w:r>
      <w:r>
        <w:rPr>
          <w:rFonts w:ascii="PT Astra Serif" w:hAnsi="PT Astra Serif" w:eastAsia="PT Astra Serif" w:cs="PT Astra Serif"/>
        </w:rPr>
        <w:t xml:space="preserve">27</w:t>
      </w:r>
      <w:r>
        <w:rPr>
          <w:rFonts w:ascii="PT Astra Serif" w:hAnsi="PT Astra Serif" w:eastAsia="PT Astra Serif" w:cs="PT Astra Serif"/>
        </w:rPr>
        <w:t xml:space="preserve">.03.202</w:t>
      </w:r>
      <w:r>
        <w:rPr>
          <w:rFonts w:ascii="PT Astra Serif" w:hAnsi="PT Astra Serif" w:eastAsia="PT Astra Serif" w:cs="PT Astra Serif"/>
        </w:rPr>
        <w:t xml:space="preserve">4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Согласно Отчёту №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, размещённому в ЕИС, </w:t>
      </w:r>
      <w:r>
        <w:rPr>
          <w:rFonts w:ascii="PT Astra Serif" w:hAnsi="PT Astra Serif" w:eastAsia="PT Astra Serif" w:cs="PT Astra Serif"/>
        </w:rPr>
        <w:t xml:space="preserve">Администрацией</w:t>
      </w:r>
      <w:r>
        <w:rPr>
          <w:rFonts w:ascii="PT Astra Serif" w:hAnsi="PT Astra Serif" w:eastAsia="PT Astra Serif" w:cs="PT Astra Serif"/>
        </w:rPr>
        <w:t xml:space="preserve"> в 202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 году осуществлено закупок у СМП и СОНО в объёме </w:t>
      </w:r>
      <w:r>
        <w:rPr>
          <w:rFonts w:ascii="PT Astra Serif" w:hAnsi="PT Astra Serif" w:eastAsia="PT Astra Serif" w:cs="PT Astra Serif"/>
        </w:rPr>
        <w:t xml:space="preserve">70,9</w:t>
      </w:r>
      <w:r>
        <w:rPr>
          <w:rFonts w:ascii="PT Astra Serif" w:hAnsi="PT Astra Serif" w:eastAsia="PT Astra Serif" w:cs="PT Astra Serif"/>
        </w:rPr>
        <w:t xml:space="preserve"> % от совокупного годового объёма закупок, что соответствует части 1 статьи 30 Закона.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силу</w:t>
      </w:r>
      <w:r>
        <w:rPr>
          <w:rFonts w:ascii="PT Astra Serif" w:hAnsi="PT Astra Serif" w:eastAsia="PT Astra Serif" w:cs="PT Astra Serif"/>
        </w:rPr>
        <w:t xml:space="preserve"> пункт</w:t>
      </w:r>
      <w:r>
        <w:rPr>
          <w:rFonts w:ascii="PT Astra Serif" w:hAnsi="PT Astra Serif" w:eastAsia="PT Astra Serif" w:cs="PT Astra Serif"/>
        </w:rPr>
        <w:t xml:space="preserve">а</w:t>
      </w:r>
      <w:r>
        <w:rPr>
          <w:rFonts w:ascii="PT Astra Serif" w:hAnsi="PT Astra Serif" w:eastAsia="PT Astra Serif" w:cs="PT Astra Serif"/>
        </w:rPr>
        <w:t xml:space="preserve"> 6 части 3 статьи 4 Закона реестр контрактов, заключенных заказчиками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Перечень </w:t>
      </w:r>
      <w:r>
        <w:rPr>
          <w:rFonts w:ascii="PT Astra Serif" w:hAnsi="PT Astra Serif" w:eastAsia="PT Astra Serif" w:cs="PT Astra Serif"/>
        </w:rPr>
        <w:t xml:space="preserve">информаци</w:t>
      </w:r>
      <w:r>
        <w:rPr>
          <w:rFonts w:ascii="PT Astra Serif" w:hAnsi="PT Astra Serif" w:eastAsia="PT Astra Serif" w:cs="PT Astra Serif"/>
        </w:rPr>
        <w:t xml:space="preserve">и и документов, подлежащих включению</w:t>
      </w:r>
      <w:r>
        <w:rPr>
          <w:rFonts w:ascii="PT Astra Serif" w:hAnsi="PT Astra Serif" w:eastAsia="PT Astra Serif" w:cs="PT Astra Serif"/>
        </w:rPr>
        <w:t xml:space="preserve"> в реестр контрактов, заключенных заказчиком</w:t>
      </w:r>
      <w:r>
        <w:rPr>
          <w:rFonts w:ascii="PT Astra Serif" w:hAnsi="PT Astra Serif" w:eastAsia="PT Astra Serif" w:cs="PT Astra Serif"/>
        </w:rPr>
        <w:t xml:space="preserve">, установлен </w:t>
      </w:r>
      <w:r>
        <w:rPr>
          <w:rFonts w:ascii="PT Astra Serif" w:hAnsi="PT Astra Serif" w:eastAsia="PT Astra Serif" w:cs="PT Astra Serif"/>
        </w:rPr>
        <w:t xml:space="preserve">част</w:t>
      </w:r>
      <w:r>
        <w:rPr>
          <w:rFonts w:ascii="PT Astra Serif" w:hAnsi="PT Astra Serif" w:eastAsia="PT Astra Serif" w:cs="PT Astra Serif"/>
        </w:rPr>
        <w:t xml:space="preserve">ью</w:t>
      </w:r>
      <w:r>
        <w:rPr>
          <w:rFonts w:ascii="PT Astra Serif" w:hAnsi="PT Astra Serif" w:eastAsia="PT Astra Serif" w:cs="PT Astra Serif"/>
        </w:rPr>
        <w:t xml:space="preserve"> 2 статьи 103 Закона</w:t>
      </w:r>
      <w:r>
        <w:rPr>
          <w:rFonts w:ascii="PT Astra Serif" w:hAnsi="PT Astra Serif" w:eastAsia="PT Astra Serif" w:cs="PT Astra Serif"/>
        </w:rPr>
        <w:t xml:space="preserve">. В реестр контрактов </w:t>
      </w:r>
      <w:r>
        <w:rPr>
          <w:rFonts w:ascii="PT Astra Serif" w:hAnsi="PT Astra Serif" w:eastAsia="PT Astra Serif" w:cs="PT Astra Serif"/>
        </w:rPr>
        <w:t xml:space="preserve">включа</w:t>
      </w:r>
      <w:r>
        <w:rPr>
          <w:rFonts w:ascii="PT Astra Serif" w:hAnsi="PT Astra Serif" w:eastAsia="PT Astra Serif" w:cs="PT Astra Serif"/>
        </w:rPr>
        <w:t xml:space="preserve">ю</w:t>
      </w:r>
      <w:r>
        <w:rPr>
          <w:rFonts w:ascii="PT Astra Serif" w:hAnsi="PT Astra Serif" w:eastAsia="PT Astra Serif" w:cs="PT Astra Serif"/>
        </w:rPr>
        <w:t xml:space="preserve">тся</w:t>
      </w:r>
      <w:r>
        <w:rPr>
          <w:rFonts w:ascii="PT Astra Serif" w:hAnsi="PT Astra Serif" w:eastAsia="PT Astra Serif" w:cs="PT Astra Serif"/>
        </w:rPr>
        <w:t xml:space="preserve">, в том числе,</w:t>
      </w:r>
      <w:r>
        <w:rPr>
          <w:rFonts w:ascii="PT Astra Serif" w:hAnsi="PT Astra Serif" w:eastAsia="PT Astra Serif" w:cs="PT Astra Serif"/>
        </w:rPr>
        <w:t xml:space="preserve"> наименование заказчика,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подписанная усиленной электронной подписью заказчика, информация </w:t>
      </w:r>
      <w:r>
        <w:rPr>
          <w:rFonts w:ascii="PT Astra Serif" w:hAnsi="PT Astra Serif" w:eastAsia="PT Astra Serif" w:cs="PT Astra Serif"/>
        </w:rPr>
        <w:br/>
        <w:t xml:space="preserve">о приемке поставленного товара, выполненной работы (ее результатов), оказанной услуги, отдельных этапов исполнения контракта с приложением докуме</w:t>
      </w:r>
      <w:r>
        <w:rPr>
          <w:rFonts w:ascii="PT Astra Serif" w:hAnsi="PT Astra Serif" w:eastAsia="PT Astra Serif" w:cs="PT Astra Serif"/>
        </w:rPr>
        <w:t xml:space="preserve">нта о приемке;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</w:t>
      </w:r>
      <w:r>
        <w:rPr>
          <w:rFonts w:ascii="PT Astra Serif" w:hAnsi="PT Astra Serif" w:eastAsia="PT Astra Serif" w:cs="PT Astra Serif"/>
        </w:rPr>
        <w:t xml:space="preserve">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</w:t>
      </w:r>
      <w:r>
        <w:rPr>
          <w:rFonts w:ascii="PT Astra Serif" w:hAnsi="PT Astra Serif" w:eastAsia="PT Astra Serif" w:cs="PT Astra Serif"/>
        </w:rPr>
        <w:t xml:space="preserve">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</w:rPr>
        <w:t xml:space="preserve">информация об изменении контракта с указанием условий ко</w:t>
      </w:r>
      <w:r>
        <w:rPr>
          <w:rFonts w:ascii="PT Astra Serif" w:hAnsi="PT Astra Serif" w:eastAsia="PT Astra Serif" w:cs="PT Astra Serif"/>
        </w:rPr>
        <w:t xml:space="preserve">нтракта, которые были изменены;</w:t>
      </w:r>
      <w:r>
        <w:rPr>
          <w:rFonts w:ascii="PT Astra Serif" w:hAnsi="PT Astra Serif" w:eastAsia="PT Astra Serif" w:cs="PT Astra Serif"/>
        </w:rPr>
        <w:t xml:space="preserve"> а также иные информация и документы, определенные порядком ведения реестра контрактов.</w:t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Постановлением Правительства Российской Федерации от 27.01.2022 № 60 утверждены Правила ведения реестра контрактов, заключенных заказчиками (далее – Правила).</w:t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Согласно подпунктам «м», «н» пункта 10 Правил в реестр подлежит включению информация об обеспечении исполнения контракта, о гарантийных обязательствах (при наличии), сроках их предоставления.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Ч</w:t>
      </w:r>
      <w:r>
        <w:rPr>
          <w:rFonts w:ascii="PT Astra Serif" w:hAnsi="PT Astra Serif" w:eastAsia="PT Astra Serif" w:cs="PT Astra Serif"/>
          <w:szCs w:val="28"/>
        </w:rPr>
        <w:t xml:space="preserve">астью 3 статьи 103 Закона </w:t>
      </w:r>
      <w:r>
        <w:rPr>
          <w:rFonts w:ascii="PT Astra Serif" w:hAnsi="PT Astra Serif" w:eastAsia="PT Astra Serif" w:cs="PT Astra Serif"/>
          <w:szCs w:val="28"/>
        </w:rPr>
        <w:t xml:space="preserve">установлен срок направления заказчиком указанной в части 2 статьи 103 Закона информации.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Администрацией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допущены следующие нарушения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Закона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ыразившиеся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направлении в реестр контрактов ЕИС недостоверной информации, несвоевременном направлении информации в реестр контрактов ЕИС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ненаправлении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такой информации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1. М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униципальный контракт на поставку автомобильного бензина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15.06.2022 № 753 (реестровый номер контракта 3231103875522000007 от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21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6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.2022, извещение о проведении электронного аукциона от 24.05.2022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0318300119422000753) на сумму 587 801,18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3.3. Контракта предусмотрено: «На поставляемый товар Поставщик дает гарантию качества в с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 В нарушение части 3 статьи 7, пункта 15 части 2 статьи 103 Закона, части 3 статьи 103 Закона,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подпункта «н» пункта 10 Правил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информация о контракте, размещенная в реестре контрактов ЕИС, не содержит сведения о гарантийном сроке.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 оказание услуг по проведению диспансеризации муниципальных служащих администрации Калининского сельского округа муниципального образования город Краснодар от 06.06.2022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743 (реестровый номер контракта 3231103875522000006 от 15.06.2022, извещение о проведении электронного аукциона от 13.05.2022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0318300119422000743) на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сумму  37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 023,34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несвоевременно – на 6 рабочий день после его заключения, а именно 15.06.2022 (опубликованы на 6 рабочий день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–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15.06.2022).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 выполнение работ по валке и обрезке деревьев на территории Калининского сельского округа муниципального образования город Краснодар от 05.04.2022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296 (реестровый номер контракта 3231103875522000003 от 06.04.2022, извещение о проведении электронного аукциона от 14.03.2022 № 0318300119422000296) на сумму 500 000,00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пункту 13.5 контракта «Расторжение контракта допускается по соглашению сторон, по решению суда, в случае одностороннего отказа стороны контракта от исполнени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я контракта в соответствии с гражданским законодательством, в порядке, предусмотренном в статье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реестр контрактов ЕИС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направлена недостоверная информация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об отсутствии возможности одностороннего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отказа от исполнения контракта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4.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№ 93 от 10.03.2023 на оказание услуг по ликвидации стихийных свалок на территории Калининского сельского округа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муниципального образования город Краснодар (реестровый номер 32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31103875523000004 от 13.03.2023,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13.02.2023 № 0318300119423000093) на сумму 600 000,00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об исполнении контракта № 6 от 19.07.2023 с нарушением срока (на 7 рабочий день после оплаты), установленного частью 3 статьи 103 Закона, в реестр контрактов ЕИС направлено платежное поручение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10.07.2023 № 418431 (списано 10.07.2023) на сумму 157 346,61 рублей.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5.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22.05.2023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509 на оказание услуг по проведению диспансеризации муниципальных служащих администрации Калининского сельского округа муниципального образования город Краснодар (реестровый номер 32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31103875523000005 от 29.05.2023,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21.04.2023 № 0318300119423000509) на сумму 39 268,00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7.1 контракта предусмотрено: «В случае если при проведении электронного аукциона участником закупки, с которым заключается контрак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т, предложена цена контракта, которая на двадцать пять и более процентов, ниже начальной (максимальной) цена контракта, контракт заключается только после предоставления таким участником обеспечения исполнения контракта в соответствии со статьёй 37 Закона».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части 2 статьи 37 Закона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после предоставления таким участником обеспечения исполнения контракта в размере, указанном в части 1 настоящей статьи, или информации, подтвержда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ющей добросовестность такого участника в соответствии с частью 3 настоящей статьи, с одновременным предоставлением таким участником обеспечения исполнения контракта в размере обеспечения исполнения контракта, указанном в извещении об осуществлении закупки.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соответствии с частью 1 статьи 37 Закона если при проведении конкурса или аукциона начальная (максимальная) цена контракта составляет более чем пятнадцать миллион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извещении об осуществлении закупки, документации о закупке (в случае, если настоящим Федеральным законом предусмотрена документация о закупке), но не менее чем десять процентов от начальной (максимальной) цены контракта или от цены заключаемого контракта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(если контракт заключается по результатам определения поставщика (подрядчика, исполнителя) в соответствии с пунктом 1 части 1 статьи 30 настоящего Федерального закона) и не менее размера аванса (если контрактом предусмотрена выплата аванса). 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Из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  <w:lang w:bidi="ru-RU"/>
        </w:rPr>
        <w:t xml:space="preserve">протокола подведения итогов определения поставщика (подрядчика, исполнителя) от 10.05.2023 № 0318300119423000509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  <w:lang w:bidi="ru-RU"/>
        </w:rPr>
        <w:t xml:space="preserve">следует, что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снижение НМЦК составило 62,83 %.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Закупка проводилас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ь без установления преимуществ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реестру контрактов ЕИС участником закупки предоставлено подтверждение добросовестности.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103, части 3           статьи 103 Закона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подпункта «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м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» пункта 10 Правил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нформация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 заключенном контракте, размещенная в реестре контрактов ЕИС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29.05.2023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 не содержит сведения об обеспечении исполнения контракта.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6.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29.05.2023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579 на выполнение работ по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инвентаризации зеленых насаждений на озелененных территориях II группы, за исключением земельных участков, переданных во владение и (или) пользование, в границах Калининского сельского округа муниципального образования город Краснодар (реестровый номер 32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31103875523000006 от 30.05.2023,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05.05.2023 № 0318300119423000579) на сумму 4 250 000,00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Пунктом 7.3 контракта установлено: «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Гарантийный срок выполненных работ составляет 3 (три) года с даты подписания Заказчиком документа о приемке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103, части 3           статьи 103 Закона, подпункта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«н» пункта 10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Правил информация о заключённом контракте, размещённая в реестре контрактов ЕИС 30.05.2023, не содержит сведения о гарантийном сроке.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7.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04.07.2023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730 на закупку кондиционеров бытовых (реестровый номер 3231103875523000008 от 27.07.2023) извещение о проведении электронного аукциона от 09.06.2023 № 0318300119423000730) на сумму 48 530,86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установленного частью 3 статьи 103 Закона, в реестр контрактов ЕИС направлены сведения о заключении данного контракта, а именно на 16 рабочий день после его заключения 26.0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7.2023, опубликованы 27.07.2023.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</w:rPr>
      </w:r>
      <w:bookmarkStart w:id="0" w:name="P1546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Пунктом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5.4.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контракта установлено: «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спецификации».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Пунктом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5.5.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контракта установлено: «</w:t>
      </w:r>
      <w:bookmarkStart w:id="1" w:name="undefined"/>
      <w:r>
        <w:rPr>
          <w:rFonts w:ascii="PT Astra Serif" w:hAnsi="PT Astra Serif" w:eastAsia="PT Astra Serif" w:cs="PT Astra Serif"/>
        </w:rPr>
      </w:r>
      <w:bookmarkEnd w:id="1"/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Требования к предос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тавлению гарантии производителя и (или) Поставщика Товара и к сроку действия такой гарантии указаны в спецификации.». Спецификацией установлено: «Гарантийный срок составляет 12 месяцев со дня подписания Сторонами документа о приемке поставленного товара.».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103, части 3           статьи 103 Закона, подпункта «н» пункта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10 Правил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информация о заключённом контракте, размещённая в реестре контрактов ЕИС 27.07.2023, информация о внесении изменений, размещенная в реестре контрактов ЕИС 10.08.2023, не содержит сведения о гарантийном сроке.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8.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от 13.07.2023 № 761 на оказание услуг по осуществлен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ию технического контроля (надзора) за ходом выполнением работ по инвентаризации зеленых насаждений на озелененных территориях II группы за исключением земельных участков, переданных во владение и (или) пользование, в границах Калининского сельского округа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униципального образования г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ород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Краснодар (реестровый номер 3231103875523000007 от 18.07.2023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20.06.2023 № 0318300119423000761) на сумму 60 000,00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8.3 контракта установлено: «Гарантийный срок оказанных услуг составляет 3 (три) года с даты подписания Заказчиком документа о приемке».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103, части 3           статьи 103 Закона, подпункта «н» пункта 10 Правил информация о заключённом контракте, размещённая в реестре контрактов ЕИС 18.07.2023, не содержит сведения о гарантийном сроке.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 Закона, подпункта «м» пункта 10 Правил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реестр контрактов ЕИС 18.07.2023 внесена недостоверная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информация о размере обеспечения исполнения контракта в сумме 6 000,0 руб. При этом, из размещенного Администрацией в ЕИС платежного поручения № 204 от 05.07.2023 следует, что исполнителем предоставлено обеспечение исполнения контракта на сумму 9 000,0 руб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9.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поставку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автомобильного бензина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19.12.2022 № 0318300119422001878 (реестровый номер 3231103875522000012 от 30.12.2022, извещение о проведении электронного аукциона от 28.11.2022 № 0318300119422001878) на сумму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1 245 084,80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с нарушением срока, установленного частью 3 статьи 103 Закона, а именно 28.12.2022 на 7 рабочий день после его закл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ючения, опубликованы 30.12.2022.</w:t>
      </w:r>
      <w:r>
        <w:rPr>
          <w:rFonts w:ascii="PT Astra Serif" w:hAnsi="PT Astra Serif" w:cs="PT Astra Serif"/>
          <w:b/>
          <w:bCs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 За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кона, подпункта «н» пункта 10 Правил в реестр контрактов ЕИС не направлены сведения о гарантийном сроке (информация о контракте от 30.12.2022), предусмотренном пунктом 3.3 контракта: «Гарантийный срок на поставленные товары составляет весь период поставки»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10. М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униципальный контракт на поставку оргтехники от 16.12.2022 № 42 (реестровый номер 3231103875522000010 от 27.12.2022, извещение о проведении электронного аукциона от 24.11.2022 № 0318300119422001872) на сумму </w:t>
      </w:r>
      <w:r>
        <w:rPr>
          <w:rFonts w:ascii="PT Astra Serif" w:hAnsi="PT Astra Serif" w:eastAsia="PT Astra Serif" w:cs="PT Astra Serif"/>
          <w:bCs/>
          <w:iCs/>
          <w:color w:val="000000"/>
          <w:szCs w:val="28"/>
          <w:shd w:val="clear" w:color="auto" w:fill="ffffff"/>
        </w:rPr>
        <w:t xml:space="preserve">78 166,33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с нарушением срока, установленного частью 3 статьи 103 Закона, а именно 27.12.2022 на 7 рабочий день после его закл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ючения, опубликованы 27.12.2022.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11.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 </w:t>
      </w:r>
      <w:r>
        <w:rPr>
          <w:rFonts w:ascii="PT Astra Serif" w:hAnsi="PT Astra Serif" w:eastAsia="PT Astra Serif" w:cs="PT Astra Serif"/>
          <w:bCs/>
          <w:iCs/>
          <w:color w:val="000000"/>
          <w:szCs w:val="28"/>
          <w:shd w:val="clear" w:color="auto" w:fill="ffffff"/>
        </w:rPr>
        <w:t xml:space="preserve">приобретение оргтехники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16.12.2022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 41 (реестровый номер 3231103875522000011 от 28.12.2022, извещение о проведении электронного аукциона от 24.11.2022 № 0318300119422001860) на сумму </w:t>
      </w:r>
      <w:r>
        <w:rPr>
          <w:rFonts w:ascii="PT Astra Serif" w:hAnsi="PT Astra Serif" w:eastAsia="PT Astra Serif" w:cs="PT Astra Serif"/>
          <w:bCs/>
          <w:iCs/>
          <w:color w:val="000000"/>
          <w:szCs w:val="28"/>
          <w:shd w:val="clear" w:color="auto" w:fill="ffffff"/>
        </w:rPr>
        <w:t xml:space="preserve">129 000,00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руб. 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с нарушением срока, установленного частью 3 статьи 103 Закона, а именно 26.12.2022 на 6 рабочий день после его закл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ючения, опубликованы 28.12.2022.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12.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 </w:t>
      </w:r>
      <w:r>
        <w:rPr>
          <w:rFonts w:ascii="PT Astra Serif" w:hAnsi="PT Astra Serif" w:eastAsia="PT Astra Serif" w:cs="PT Astra Serif"/>
          <w:bCs/>
          <w:iCs/>
          <w:color w:val="000000"/>
          <w:szCs w:val="28"/>
          <w:shd w:val="clear" w:color="auto" w:fill="ffffff"/>
        </w:rPr>
        <w:t xml:space="preserve">приобретение оргтехники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16.12.2022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 40 (реестровый номер 3231103875522000009 от 27.12.2022, извещение о проведении электронного аукциона от 24.11.2022 № 0318300119422001869) на сумму 37 417,80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с нарушением срока, установленного частью 3 статьи 103 Закона, а именно 27.12.2022 на 7 рабочий день после его заключения, опубликованы 27.12.2022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Вышеизложенные нарушения Закона содержат признаки административного правонарушения, предусмотренного частью 2 статьи 7.31 Кодекса Российской Федерации об административных правонарушениях (далее – КоАП РФ).</w:t>
      </w:r>
      <w:r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Частью 2 статьи 7.31 КоАП РФ предусмотрена административная ответственность за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ненаправление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Комиссий также установлено следующее нарушение Закона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 допущенное при утверждении документации об аукционе.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поставку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автомобильного бензина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№ 0318300119422001878 от 19.12.2022 (реестровый номер 3231103875522000012 от 30.12.2022, извещение о проведении электронного аукциона от 28.11.2022 № 0318300119422001878) на сумму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1 245 084,80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извещени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о проведении электронного аукциона от 28.11.2022 № 0318300119422001878 указана дата окончания исполнения контракта – 10.02.2024. В реестре контрактов указана дата окончания исполнения контракта согласно условиям заключённого контракта – 12.02.2024.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Так, 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соответствии с пунктом 1 статьи 408 ГК РФ надлежащее исполнение прекращает обязательство.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Сроки исполнения обязательств определены контрактом следующим образом.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Поставка товаров осуществляется с даты заключения муниципального контракта по 31.12.2023 года (включительно) – пункт 5.1 проекта контракта.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 результатам поставки Товара Поставщик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течение 10 рабочих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дней с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даты поставки Товара формирует с использованием единой информационной системы, подписывает усиленной квалифицированной электронной подписью лица, имеющего право действовать от имени Поставщика, и размещает в единой информационной системе документ о приемке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(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4.2 проекта контракта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).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течение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8 (восьми) рабочих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дней следующих за днем поступления докуме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нта о приемке в соответствии с пунктом 4.3 Контракта, Заказчик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(п.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4.4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проекта контракта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).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Заказчик осуществляет оплату по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ставленного товара ежемесячно в пределах утвержденных бюджетных ассигнований (лимитов бюджетных обязательств) в течение 7 (семи) рабочих дней с даты подписания Заказчиком документа о приемке, путем перечисления денежных средств на расчетный счет Поставщика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(пункт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6.4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проекта контракта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)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этой связи, с учётом требований статьи 94 Закона, статей 193, 407, 408 ГК РФ, а также условий проекта контракта, дата окончания исполнения контракта подлеж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 определению путём сложения сроков, предусмотренных для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поставки товара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его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приёмки и оплаты, и составляет не более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25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рабочих дней, а именно 1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2.202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Указанное нарушение требований законодательства Российской Федерации о контрактной системе в сфере закупок имеет признаки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административного правонарушения, предусмотренного частью 4.2 статьи 7.30 КоАП РФ, которой установлена ответственность должностного лица за утверждение конкурсной документации,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части 1 статьи 4.5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муниципальных нужд (в части административных правонарушений, предусмотренных статьями 7.29 – 7.32, 7.32.5, частью 7 статьи 19.5, статьей 19.7.2 настоящего Кодекса) не может быть вынесено по истечении года со дня совершения административного правонарушения.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Таким образом, срок давности привлечения к административной ответственности за правонарушение по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части 4.2 статьи 7.30,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части 2 статьи 7.31 КоАП РФ составляет один год и начинает исчисляться с момента его совершения.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Следовательно,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Комиссией также установлены следующие нарушения Закона, допущенные Администрацией при направлении информации и документов в реестр контрактов ЕИС.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1.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от 08.11.2023 № 0318300119423001285 на закупку автомобильного бензина (реестровый номер 3231103875523000009 от 15.11.2023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16.10.2023 № 0318300119423001285) на сумму 57 171,00 руб.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ab/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об исполнении контракта от 27.03.2024 № 4 с нарушением срока (на 68 рабочий день после оплаты), установленного частью 3 статьи 103 Закона, в реестр контрактов ЕИС направлено платежное поручение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751837 от 12.12.2023 (списано 12.12.2023) на сумму 18 302,40 рублей.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поставку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автомобильного бензина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19.12.2022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 0318300119422001878 (реестровый номер 3231103875522000012 от 30.12.2022, извещение о проведении электронного аукциона от 28.11.2022 № 0318300119422001878) на сумму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1 245 084,80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</w:rPr>
      </w:r>
      <w:bookmarkStart w:id="2" w:name="_GoBack"/>
      <w:r>
        <w:rPr>
          <w:rFonts w:ascii="PT Astra Serif" w:hAnsi="PT Astra Serif" w:eastAsia="PT Astra Serif" w:cs="PT Astra Serif"/>
        </w:rPr>
      </w:r>
      <w:bookmarkEnd w:id="2"/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 Закона, подпункта «н» пункта 10 Правил в реестр контрактов ЕИС не направлены сведения о гарантийном сроке (информация о контракте от 28.02.2024, от 04.03.2024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–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недействующие редакции и от 12.03.2024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–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действующая редакция), предусмотренном пунктом 3.3 контракта: «Гарантийный срок на поставленные товары составляет весь период поставки»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16.04.2024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24000376-ЭА на выполнение работ по валке и обрезке деревьев в границах автомобильных дорог местного значения на территории Калининского сельского округа муниципального образования город Краснодар (реестровый номер 3231103875524000004 от 23.04.2024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извещение о проведении электронного аукциона от 26.03.2024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br/>
        <w:t xml:space="preserve">№ 0318300119424000376) на сумму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500 000,00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установленного частью 3 статьи 103 Закона, в реестр контрактов ЕИС направлены сведения о заключении дополнительного соглашения к контракту № 1 от 23.04.2024, а именно на 6 рабочий день после его заключения 0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.05.2024, опубликованы 03.05.2024.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4.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15.04.2024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24000345-ЭА на выполнение работ по валке и обрезке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деревьев на территории Калининского сельского округа муниципального образования город Краснодар (реестровый номер 3231103875524000002 от 23.04.2024, извещение о проведении электронного аукциона от 22.03.2024 № 0318300119424000345) на сумму 700 000,00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установленного частью 3 статьи 103 Закона, в реестр контрактов ЕИС направлены сведения о заключении данного контракта, а именно на 6 рабочий день после его заключения 23.04.2024, опубликованы 23.04.2024.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5.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15.04.2024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24000347-ЭА на оказание услуг по пок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осу сорной растительности на территории Калининского сельского округа муниципального образования город Краснодар (реестровый номер 3231103875524000005 от 23.04.2024, извещение о проведении электронного аукциона от 22.03.2024 № 0318300119424000347) на сумму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2 000 000,00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установленного частью 3 статьи 103 Закона, в реестр контрактов ЕИС направлены сведения о заключении данного контракта, а именно на 6 рабочий день после его заключения 23.04.2024, опубликованы 23.04.2024.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6.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11.12.2023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 459 на поставку бумаги для офисной техники (реестровый номер 3231103875523000010 от 21.12.2023, извещение о проведении электронного аукциона от 20.11.2023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br/>
        <w:t xml:space="preserve">№ 0318300119423001459) на сумму 91 959,14 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b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установленного частью 3 статьи 103 Закона, в реестр контрактов ЕИС направлены сведения о заключении данного контракта, а именно на 7 рабочий день после его заключения 20.12.2023, опубликованы 21.12.2023.</w:t>
      </w:r>
      <w:r>
        <w:rPr>
          <w:rFonts w:ascii="PT Astra Serif" w:hAnsi="PT Astra Serif" w:cs="PT Astra Serif"/>
          <w:b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6.13. контракта предусмотрено следующее: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В нарушение части 3 статьи 7 Закона в реестр контрактов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ЕИС внесена недостоверная информация от 21.12.2023 (недействующая редакция), от 28.12.2023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  <w:r>
        <w:rPr>
          <w:rFonts w:ascii="PT Astra Serif" w:hAnsi="PT Astra Serif" w:cs="PT Astra Serif"/>
          <w:b/>
          <w:bCs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информации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об исполнении контракта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от 30.01.2024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№ 2 сведения об оплате (платежное поручение № 785270 от 26.12.2023 на сумму 91959,14 руб.) направлены в реестр контрактов ЕИС с нарушением срока, установленного частью 3 статьи 103 Закона, а именно на 19 рабочий день после оплаты – 30.01.2024.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7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Муниципальный контракт от 29.12.2023 № 554 на автомобильные бензины (реестровый номер 3231103875524000001 от 26.03.2024, извещение о проведении электронного аукциона от 06.12.2023 № 0318300119423001554) на сумму 1 329 953,25 руб.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Сведения о заключении контракта направлены в реестр контрактов ЕИС с нарушением срока, установленного частью 3 статьи 103 Закона, а именно 26.03.2024 на 54 рабочий день после его заключения, опубликованы на 54 рабочий день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–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26.03.2024.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 нарушением срока, установл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енного частью 3 статьи 103 Закона, в реестр контрактов ЕИС направлены сведения о заключении дополнительного соглашения к контракту № 1 от 28.02.2024, а именно на 20 рабочий день после его заключения 28.03.2024, опубликованы 01.04.2024 – на 22 рабочий день.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Пунктом 3.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3 контракта установлено следующее: «На поставляемый товар Поставщик дает гарантию качества в соответствии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 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Согласно пункту 5.1 контракта поставка товаров осуществляется с момента заключения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(но не ранее 01.01.2024 года)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контракта по 31.12.2024 года (включительно).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 нарушение части 3 статьи 7, пункта 15 части 2 статьи 103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Закона,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         части 3 статьи 103 Закона, подпункта «н» пункта 10 Правил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информация о контракте, размещенная в реестре контрактов ЕИС 26.03.2024, информация о внесении изменений в контракт, размещённая в реестре контрактов ЕИС 01.04.2024, не содержат сведения о гарантийном сроке.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У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казанн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ы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е нарушени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я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Закона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также содерж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а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т</w:t>
      </w:r>
      <w:r>
        <w:rPr>
          <w:rFonts w:ascii="PT Astra Serif" w:hAnsi="PT Astra Serif" w:eastAsia="PT Astra Serif" w:cs="PT Astra Serif"/>
          <w:bCs/>
          <w:color w:val="000000"/>
          <w:szCs w:val="28"/>
          <w:shd w:val="clear" w:color="auto" w:fill="ffffff"/>
        </w:rPr>
        <w:t xml:space="preserve"> признаки административного правонарушения, предусмотренного частью 2 статьи 7.31 КоАП РФ.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Акт по итогам проведения плановой проверки будет направлен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br/>
        <w:t xml:space="preserve">в прокуратуру города Краснодара.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ind w:firstLine="0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Руководитель комиссии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Е.А.Глазков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ind w:firstLine="0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Заместитель руководителя комиссии                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О.Н.Котова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ind w:firstLine="0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Член комиссии               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Н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Г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Горобец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ind w:firstLine="0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p>
      <w:pPr>
        <w:ind w:firstLine="0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Член комиссии               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В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Н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/>
          <w:szCs w:val="28"/>
          <w:shd w:val="clear" w:color="auto" w:fill="ffffff"/>
        </w:rPr>
        <w:t xml:space="preserve">Поляков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851" w:left="1701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23913749"/>
      <w:docPartObj>
        <w:docPartGallery w:val="Page Numbers (Top of Page)"/>
        <w:docPartUnique w:val="true"/>
      </w:docPartObj>
      <w:rPr/>
    </w:sdtPr>
    <w:sdtContent>
      <w:p>
        <w:pPr>
          <w:pStyle w:val="7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6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Arial" w:eastAsiaTheme="minorHAnsi"/>
        <w:sz w:val="28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21"/>
    <w:uiPriority w:val="99"/>
  </w:style>
  <w:style w:type="character" w:styleId="45">
    <w:name w:val="Footer Char"/>
    <w:basedOn w:val="714"/>
    <w:link w:val="723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8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>
    <w:name w:val="Hyperlink"/>
    <w:basedOn w:val="714"/>
    <w:uiPriority w:val="99"/>
    <w:unhideWhenUsed/>
    <w:rPr>
      <w:color w:val="0563c1" w:themeColor="hyperlink"/>
      <w:u w:val="single"/>
    </w:rPr>
  </w:style>
  <w:style w:type="paragraph" w:styleId="718">
    <w:name w:val="List Paragraph"/>
    <w:basedOn w:val="713"/>
    <w:link w:val="725"/>
    <w:uiPriority w:val="34"/>
    <w:qFormat/>
    <w:pPr>
      <w:contextualSpacing/>
      <w:ind w:left="720"/>
    </w:pPr>
  </w:style>
  <w:style w:type="paragraph" w:styleId="719">
    <w:name w:val="Balloon Text"/>
    <w:basedOn w:val="713"/>
    <w:link w:val="7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20" w:customStyle="1">
    <w:name w:val="Текст выноски Знак"/>
    <w:basedOn w:val="714"/>
    <w:link w:val="719"/>
    <w:uiPriority w:val="99"/>
    <w:semiHidden/>
    <w:rPr>
      <w:rFonts w:ascii="Segoe UI" w:hAnsi="Segoe UI" w:cs="Segoe UI"/>
      <w:sz w:val="18"/>
      <w:szCs w:val="18"/>
    </w:rPr>
  </w:style>
  <w:style w:type="paragraph" w:styleId="721">
    <w:name w:val="Header"/>
    <w:basedOn w:val="713"/>
    <w:link w:val="7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basedOn w:val="714"/>
    <w:link w:val="721"/>
    <w:uiPriority w:val="99"/>
  </w:style>
  <w:style w:type="paragraph" w:styleId="723">
    <w:name w:val="Footer"/>
    <w:basedOn w:val="713"/>
    <w:link w:val="7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basedOn w:val="714"/>
    <w:link w:val="723"/>
    <w:uiPriority w:val="99"/>
  </w:style>
  <w:style w:type="character" w:styleId="725" w:customStyle="1">
    <w:name w:val="Абзац списка Знак"/>
    <w:link w:val="718"/>
    <w:uiPriority w:val="34"/>
  </w:style>
  <w:style w:type="character" w:styleId="726">
    <w:name w:val="annotation reference"/>
    <w:basedOn w:val="714"/>
    <w:uiPriority w:val="99"/>
    <w:semiHidden/>
    <w:unhideWhenUsed/>
    <w:rPr>
      <w:sz w:val="16"/>
      <w:szCs w:val="16"/>
    </w:rPr>
  </w:style>
  <w:style w:type="paragraph" w:styleId="727">
    <w:name w:val="annotation text"/>
    <w:basedOn w:val="713"/>
    <w:link w:val="728"/>
    <w:uiPriority w:val="99"/>
    <w:semiHidden/>
    <w:unhideWhenUsed/>
    <w:pPr>
      <w:ind w:firstLine="0"/>
      <w:jc w:val="left"/>
      <w:spacing w:after="160"/>
    </w:pPr>
    <w:rPr>
      <w:rFonts w:asciiTheme="minorHAnsi" w:hAnsiTheme="minorHAnsi" w:cstheme="minorBidi"/>
      <w:sz w:val="20"/>
      <w:szCs w:val="20"/>
    </w:rPr>
  </w:style>
  <w:style w:type="character" w:styleId="728" w:customStyle="1">
    <w:name w:val="Текст примечания Знак"/>
    <w:basedOn w:val="714"/>
    <w:link w:val="727"/>
    <w:uiPriority w:val="99"/>
    <w:semiHidden/>
    <w:rPr>
      <w:rFonts w:asciiTheme="minorHAnsi" w:hAnsiTheme="minorHAnsi" w:cstheme="minorBidi"/>
      <w:sz w:val="20"/>
      <w:szCs w:val="20"/>
    </w:rPr>
  </w:style>
  <w:style w:type="paragraph" w:styleId="729" w:customStyle="1">
    <w:name w:val="Таблицы (моноширинный)"/>
    <w:basedOn w:val="713"/>
    <w:next w:val="713"/>
    <w:pPr>
      <w:ind w:firstLine="0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083F-B528-42C2-9C09-24FF6DFB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cp:keywords/>
  <dc:description/>
  <cp:revision>23</cp:revision>
  <dcterms:created xsi:type="dcterms:W3CDTF">2024-09-09T13:59:00Z</dcterms:created>
  <dcterms:modified xsi:type="dcterms:W3CDTF">2024-09-11T08:04:28Z</dcterms:modified>
</cp:coreProperties>
</file>