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ПРОГРАММА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льготного кредитования субъектов МСП, утвержденной постановлением Правительства РФ от 30.12.2017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1 января 2018 года на территории Российской Федерации действует совместная программа министерства экономического развития Российской Федерации (далее – Министерство) и Корпорации МСП (далее – Программа), утвержденная постановлением Правительства Российской Федерации  от         30.12.2017 г.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ставке».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Конечная ставка по кредиту для субъекта МСП в рамках Программы не будет превышать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6,5% годовых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Сроки льготного кредитования: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 лет на инвестиционные цели в размере от 3 млн. рублей до 400 млн. рублей;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 года – на пополнение оборотных средств в размере от 3 млн. рублей до 100 млн. рублей.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Обязательным условием для заемщиков является реализация проекта в приоритетных отраслях: в том числе в сельском хозяйстве, обрабатывающих производствах, строительстве, транспорте и связи, туристской деятельности, здравоохранении и утилизации отходов, а также в сфере общественного питания и бытовых услуг.</w:t>
      </w:r>
    </w:p>
    <w:p>
      <w:pPr>
        <w:pStyle w:val="Normal"/>
        <w:shd w:val="clear" w:color="auto" w:fill="FFFFFF"/>
        <w:spacing w:lineRule="auto" w:line="240" w:beforeAutospacing="1" w:afterAutospacing="1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Перечень приоритетных отраслей экономики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импортозамещения и развития несырьевого экспорта.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импортозамещения и развития несырьевого экспорта.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Производство и распределение электроэнергии, газа и воды.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Строительство, в том числе в рамках развития внутреннего туризма.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Транспорт и связь.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Деятельность в области здравоохранения.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9.Деятельность предприятий общественного питания (за исключением ресторанов).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10.Деятельность в сфере бытовых услуг.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7.07.2011 № 899                            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осуществлять деятельность в одной или нескольких отраслях экономики по перечню, представленному выше;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обладать статусом налогового резидента Российской Федерации;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(положительная кредитная история). 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Заемщик самостоятельно выбирает уполномоченный банк для получения кредита. Уполномоченный банк рассматривает возможность предоставления кредита в соответствии с правилами и процедурами, принятыми в уполномоченном банке. </w:t>
      </w:r>
    </w:p>
    <w:p>
      <w:pPr>
        <w:pStyle w:val="NoSpacing"/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Заемщик, претендующий на получение кредита, представляет в уполномоченный банк документы в соответствии с требованиями Правил по Постановлению Правительства РФ № 1706 от 30.12.2018 года и уполномоченного банка. Проверку соответствия заемщиков требованиям, указанным в пункте 20 Правил, а также целевого использования кредита осуществляет уполномоченный банк на основании документов, представленных заемщиком</w:t>
      </w:r>
      <w:r>
        <w:rPr/>
        <w:t>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1134" w:top="192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right"/>
      <w:rPr>
        <w:rFonts w:ascii="XO Thames" w:hAnsi="XO Thames"/>
        <w:sz w:val="28"/>
        <w:szCs w:val="28"/>
      </w:rPr>
    </w:pPr>
    <w:r>
      <w:rPr>
        <w:rFonts w:ascii="XO Thames" w:hAnsi="XO Thames"/>
        <w:sz w:val="28"/>
        <w:szCs w:val="28"/>
      </w:rPr>
      <w:t>Приложение 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47c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f118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f11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11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C27A-F3DB-43CA-B312-4B100F0E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3</Pages>
  <Words>642</Words>
  <Characters>4618</Characters>
  <CharactersWithSpaces>5287</CharactersWithSpaces>
  <Paragraphs>32</Paragraphs>
  <Company>Органы государственной власти Краснодарского края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2018-05-08T08:59:00Z</dcterms:created>
  <dc:creator>TKim</dc:creator>
  <dc:description/>
  <dc:language>ru-RU</dc:language>
  <cp:lastModifiedBy/>
  <cp:lastPrinted>2018-05-08T08:56:00Z</cp:lastPrinted>
  <dcterms:modified xsi:type="dcterms:W3CDTF">2025-01-30T11:15:56Z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