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DB6F2A" w:rsidRPr="00DB6F2A">
        <w:rPr>
          <w:sz w:val="28"/>
          <w:szCs w:val="28"/>
        </w:rPr>
        <w:t>«Об утверждении порядков формирования в электронном виде социальных сертификатов на получение муниципальной услуги «Реализация дополнительных образовательных программ (за исключением дополнительных предпрофессиональных программ в области искусств) в части реализации дополнительных общеразвивающих программ для детей» и реестра их получателей и формирования реестра исполнителей муниципальной услуги «Реализация дополнительных образовательных программ (за исключением дополнительных предпрофессиональных программ в области искусств) в части реализации дополнительных общеразвивающих программ для детей» в соответствии с социальным сертификатом»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B6F2A">
        <w:rPr>
          <w:sz w:val="28"/>
          <w:szCs w:val="28"/>
        </w:rPr>
        <w:t>29.11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B6F2A">
        <w:rPr>
          <w:sz w:val="28"/>
          <w:szCs w:val="28"/>
        </w:rPr>
        <w:t>12.11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DB6F2A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C69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2023-11-30T12:41:00Z</dcterms:created>
  <dcterms:modified xsi:type="dcterms:W3CDTF">2023-11-30T12:41:00Z</dcterms:modified>
</cp:coreProperties>
</file>