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ИЗВЕЩЕНИЕ О ПРОВЕДЕНИИ ОТКРЫТОГО АУКЦИОНА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 В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ЭЛЕКТРОННОЙ ФОРМЕ НА ПРАВО ЗАКЛЮЧЕНИЯ ДОГОВОРА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 ПРЕДОСТАВЛЕНИИ ПРАВА НА РАЗМЕЩЕНИЕ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НЕСТАЦИОНАРНЫХ ТОРГОВЫХ ОБЪЕКТОВ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 НА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ТЕРРИТОРИИ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МУНИЦИПАЛЬНОГО ОБРАЗОВАНИЯ ГОРОД КРАСНОДАР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В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ОТНОШЕНИИ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ТОРГОВЫХ ПАЛАТОК ПО РЕАЛИЗАЦИИ ФРУКТОВ </w:t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И ОВОЩЕЙ НА ТЕРРИТОРИИ МУНИЦИПАЛЬНОГО </w:t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ОБРАЗОВАНИЯ ГОРОД КРАСНОДАР</w:t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</w:p>
    <w:p>
      <w:pPr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u w:val="single"/>
        </w:r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  <w:u w:val="singl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u w:val="singl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u w:val="single"/>
        </w:rPr>
      </w:r>
    </w:p>
    <w:tbl>
      <w:tblPr>
        <w:tblW w:w="99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Наименование организатора аукциона, его место нахождение, почтовый адрес, адрес электронной почты, номер контактного телефона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г. Краснодар,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ул. Кузнечная, 6; 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hyperlink r:id="rId18" w:tooltip="mailto:dpr@krd.ru" w:history="1"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0"/>
                  <w:szCs w:val="20"/>
                  <w:lang w:val="en-US"/>
                </w:rPr>
                <w:t xml:space="preserve">dpr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0"/>
                  <w:szCs w:val="20"/>
                </w:rPr>
                <w:t xml:space="preserve">@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0"/>
                  <w:szCs w:val="20"/>
                  <w:lang w:val="en-US"/>
                </w:rPr>
                <w:t xml:space="preserve">krd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0"/>
                  <w:szCs w:val="20"/>
                </w:rPr>
                <w:t xml:space="preserve">.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; 8(861)2189818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311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Форма проведения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Дата, время, место проведения аукциона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0"/>
                <w:szCs w:val="20"/>
              </w:rPr>
              <w:t xml:space="preserve">22.10.2024</w:t>
            </w:r>
            <w:r>
              <w:rPr>
                <w:rFonts w:ascii="PT Astra Serif" w:hAnsi="PT Astra Serif" w:eastAsia="PT Astra Serif" w:cs="PT Astra Serif"/>
                <w:b/>
                <w:bCs/>
                <w:sz w:val="20"/>
                <w:szCs w:val="20"/>
              </w:rPr>
              <w:t xml:space="preserve"> 10</w:t>
            </w:r>
            <w:r>
              <w:rPr>
                <w:rFonts w:ascii="PT Astra Serif" w:hAnsi="PT Astra Serif" w:eastAsia="PT Astra Serif" w:cs="PT Astra Serif"/>
                <w:b/>
                <w:bCs/>
                <w:sz w:val="20"/>
                <w:szCs w:val="20"/>
              </w:rPr>
              <w:t xml:space="preserve">:00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  <w:highlight w:val="none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0"/>
                <w:szCs w:val="20"/>
                <w:lang w:val="ru-RU"/>
              </w:rPr>
              <w:t xml:space="preserve">Электронная площадка: </w:t>
            </w:r>
            <w:hyperlink r:id="rId19" w:tooltip="https://www.roseltorg.ru" w:history="1">
              <w:r>
                <w:rPr>
                  <w:rFonts w:ascii="PT Astra Serif" w:hAnsi="PT Astra Serif" w:eastAsia="PT Astra Serif" w:cs="PT Astra Serif"/>
                  <w:b/>
                  <w:bCs/>
                  <w:sz w:val="20"/>
                  <w:szCs w:val="20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b/>
                <w:bCs/>
                <w:sz w:val="20"/>
                <w:szCs w:val="20"/>
                <w14:ligatures w14:val="none"/>
              </w:rPr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Предмет аукциона (с ука-занием лотов, количества НТО и мест их размещения)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61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Приложение № 1 к извещению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448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Минимальный ш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аг аукциона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19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Размер обеспечения заявки (задатка)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0"/>
                <w:szCs w:val="20"/>
              </w:rPr>
              <w:t xml:space="preserve">Порядок ознакомления претендентов на участие в аукционе с содержанием документации об аукционе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0"/>
                <w:szCs w:val="20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  <w:lang w:val="ru-RU"/>
              </w:rPr>
              <w:t xml:space="preserve"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  <w:lang w:val="ru-RU"/>
              </w:rPr>
              <w:t xml:space="preserve">сайт электронной площадки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Адрес Интернет-портала и сайта электронной площадки, на котором размещена документация об аукционе;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  <w:lang w:val="ru-RU"/>
              </w:rPr>
              <w:t xml:space="preserve">Интернет-портал: </w:t>
            </w:r>
            <w:hyperlink r:id="rId20" w:tooltip="https://krd.ru/" w:history="1"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0"/>
                  <w:szCs w:val="20"/>
                </w:rPr>
                <w:t xml:space="preserve">https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0"/>
                  <w:szCs w:val="20"/>
                  <w:lang w:val="ru-RU"/>
                </w:rPr>
                <w:t xml:space="preserve">://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0"/>
                  <w:szCs w:val="20"/>
                </w:rPr>
                <w:t xml:space="preserve">krd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0"/>
                  <w:szCs w:val="20"/>
                  <w:lang w:val="ru-RU"/>
                </w:rPr>
                <w:t xml:space="preserve">.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0"/>
                  <w:szCs w:val="20"/>
                </w:rPr>
                <w:t xml:space="preserve">ru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0"/>
                  <w:szCs w:val="20"/>
                  <w:lang w:val="ru-RU"/>
                </w:rPr>
                <w:t xml:space="preserve">/</w:t>
              </w:r>
            </w:hyperlink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  <w:lang w:val="ru-RU"/>
              </w:rPr>
              <w:t xml:space="preserve">;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  <w:lang w:val="ru-RU"/>
              </w:rPr>
              <w:t xml:space="preserve">Электронная площадка: </w:t>
            </w:r>
            <w:hyperlink r:id="rId21" w:tooltip="https://www.roseltorg.ru" w:history="1"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0"/>
                  <w:szCs w:val="20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Порядок предоставления разъяснений документации об аукционе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о быть ра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Порядок оформления заявок, даты начала и окончания приёма заявок на участие в аукционе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Для участия в аукционе претендент, получивший аккредитацию на электронной площадке, подает заявку на участие в аукционе.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Претендент на участие в аукционе вправе подать организатору торгов з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Претендент на участие в аукционе представляет на электронную площадку: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1) заявку на участие в аукционе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 согласно приложению №2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, подписанную электронной подписью претендента на участие в аукционе и содержащую следующую информацию: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дического лица, индивидуального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2) документ, подтверждающий полномочия лица на осуще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3) учредительные документы претендента на участие в аукционе (для юридического лица);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  <w:highlight w:val="none"/>
              </w:rPr>
              <w:t xml:space="preserve">Претендент на участие в аукционе подаёт только одну заявку на участие в аукционе в отношении одного лота.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  <w:highlight w:val="none"/>
              </w:rPr>
              <w:t xml:space="preserve">Заявка на участие в аукционе направляется претендентом на участие в аукционе из личного кабинета электронной площадки.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П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Д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ат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а начала приёма заявок: 26.09.2024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Дата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 оконча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ния приёма заявок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11.10.2024 12:00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Место, дата и время рассмотрения заявок и подведение итогов</w:t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0"/>
                <w:szCs w:val="20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Управление торговли, ул. Кузнечная, 6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Допуск претендентов к участию в аукционе: 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0"/>
                <w:szCs w:val="20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b/>
                <w:bCs/>
                <w:sz w:val="20"/>
                <w:szCs w:val="20"/>
              </w:rPr>
              <w:t xml:space="preserve">ата</w:t>
            </w:r>
            <w:r>
              <w:rPr>
                <w:rFonts w:ascii="PT Astra Serif" w:hAnsi="PT Astra Serif" w:eastAsia="PT Astra Serif" w:cs="PT Astra Serif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b/>
                <w:bCs/>
                <w:sz w:val="20"/>
                <w:szCs w:val="20"/>
                <w:highlight w:val="none"/>
              </w:rPr>
              <w:t xml:space="preserve">16.10.2024 в 11:00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  <w:highlight w:val="none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Подведение итогов аукциона: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0"/>
                <w:szCs w:val="20"/>
              </w:rPr>
              <w:t xml:space="preserve">Дата: </w:t>
            </w:r>
            <w:r>
              <w:rPr>
                <w:rFonts w:ascii="PT Astra Serif" w:hAnsi="PT Astra Serif" w:eastAsia="PT Astra Serif" w:cs="PT Astra Serif"/>
                <w:b/>
                <w:bCs/>
                <w:sz w:val="20"/>
                <w:szCs w:val="20"/>
                <w:highlight w:val="none"/>
              </w:rPr>
              <w:t xml:space="preserve">23.10.2024 в 11:00</w:t>
            </w:r>
            <w:r>
              <w:rPr>
                <w:rFonts w:ascii="PT Astra Serif" w:hAnsi="PT Astra Serif" w:cs="PT Astra Serif"/>
                <w:b/>
                <w:b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ff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687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Порядок определения победителя аукциона или победителя, уклонившегося от заключения договора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contextualSpacing w:val="0"/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муниципального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</w:rPr>
              <w:t xml:space="preserve">образования город Краснодар.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Способ уведомления об итогах проведения аукциона</w:t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0"/>
                <w:szCs w:val="20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0"/>
                <w:szCs w:val="20"/>
                <w:lang w:val="ru-RU"/>
              </w:rPr>
              <w:t xml:space="preserve"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</w:tbl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  <w:sectPr>
          <w:headerReference w:type="default" r:id="rId9"/>
          <w:headerReference w:type="first" r:id="rId10"/>
          <w:footerReference w:type="first" r:id="rId15"/>
          <w:footnotePr/>
          <w:endnotePr/>
          <w:type w:val="nextPage"/>
          <w:pgSz w:w="11906" w:h="16838" w:orient="portrait"/>
          <w:pgMar w:top="567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                                        Приложение №1</w:t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rPr>
          <w:rFonts w:ascii="PT Astra Serif" w:hAnsi="PT Astra Serif" w:cs="PT Astra Serif"/>
          <w:b w:val="0"/>
          <w:bCs w:val="0"/>
          <w:sz w:val="20"/>
          <w:szCs w:val="20"/>
        </w:rPr>
        <w:sectPr>
          <w:footnotePr/>
          <w:endnotePr/>
          <w:type w:val="nextPage"/>
          <w:pgSz w:w="11906" w:h="16838" w:orient="portrait"/>
          <w:pgMar w:top="567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к извещению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о проведении открытого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аукциона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 в электронной форме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на право заключения договора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о предоставлении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права на размещение торговых палаток по реализации фруктов и овощей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на территории муниципального образования город </w:t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  <w:sectPr>
          <w:headerReference w:type="default" r:id="rId11"/>
          <w:headerReference w:type="first" r:id="rId12"/>
          <w:footerReference w:type="first" r:id="rId16"/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cols w:num="2" w:sep="0" w:space="709" w:equalWidth="1"/>
          <w:docGrid w:linePitch="360"/>
          <w:titlePg/>
        </w:sect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Краснодар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: </w:t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Сведения о лотах</w:t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center"/>
        <w:shd w:val="clear" w:color="auto" w:fill="ffffff"/>
        <w:rPr>
          <w:rFonts w:ascii="PT Astra Serif" w:hAnsi="PT Astra Serif" w:cs="PT Astra Serif"/>
          <w:b w:val="0"/>
          <w:bCs w:val="0"/>
          <w:sz w:val="20"/>
          <w:szCs w:val="20"/>
        </w:r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tbl>
      <w:tblPr>
        <w:tblW w:w="10916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539"/>
        <w:gridCol w:w="980"/>
        <w:gridCol w:w="1041"/>
        <w:gridCol w:w="1701"/>
        <w:gridCol w:w="1417"/>
        <w:gridCol w:w="1559"/>
        <w:gridCol w:w="1698"/>
        <w:gridCol w:w="1698"/>
      </w:tblGrid>
      <w:tr>
        <w:tblPrEx/>
        <w:trPr>
          <w:trHeight w:val="2320"/>
        </w:trPr>
        <w:tc>
          <w:tcPr>
            <w:shd w:val="clear" w:color="auto" w:fill="auto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№ лота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1539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Место расположение НТО (адрес)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Тип и специализация нестационарного торгового объекта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Площадь земельного участка/ торгового объекта, кв.м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Начальной (минимальной) стоимости права на размещение НТО, руб.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Обеспечение заявки, руб.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Шаг аукциона, %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1698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Срок Размещения НТО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Номер отчета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 об определении рыночной стоимости права на размещение НТО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Рождественская Набережная (вблизи строения № 33)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фрукты и овощи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9 648,00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48 240,00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М-71478-01-06-24/60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Северная – ул. Севастопольская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фрукты и овощи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17 592,00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87 960,00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М-71478-01-06-24/62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№3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Северная – ул. Севастопольская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фрукты и овощи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17 592,00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87 960,00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М-71478-01-06-24/63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Южная (вблизи строения  № 19) – ул. Заводская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фрукты и овощи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14 076,00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70 380,00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М-71478-01-06-24/67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Выставочная – ул. Клиническая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фрукты и овощи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9 906,00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49 530,00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М-71478-01-06-24/71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№6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Железнодорожная (вблизи строения № 31)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фрукты и овощи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8 310,00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41 550,00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М-71478-01-06-24/72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№7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Айвазовского (вблизи строения № 117/1)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фрукты и овощи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11 340,00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56 700,00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М-71478-01-06-24/74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Гоголя – ул. Базовская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фрукты и овощи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11 634,00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58 170,00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М-71478-01-06-24/77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Клиническая – ул. Механическая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фрукты и овощи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9 906,00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49 530,00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М-71478-01-06-24/81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Коммунаров – ул. им. Хакурате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фрукты и овощи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10 080,00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50 400,00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М-71478-01-06-24/85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№11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Промышленная (вблизи строения № 21/9)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фрукты и овощи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10 080,00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50 400,00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М-71478-01-06-24/86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1-го Мая (вблизи строения № 262)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фрукты и овощи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11 052,00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55 260,00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М-71478-01-06-24/142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№13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40-летия Победы (вблизи строения № 33/1)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фрукты и овощи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11 052,00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55 260,00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М-71478-01-06-24/143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40-летия Победы (напротив строения № 56)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фрукты и овощи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11 052,00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55 260,00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М-71478-01-06-24/146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Достоевского – ул. Декабристов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фрукты и овощи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11 052,00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55 260,00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М-71478-01-06-24/148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№16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Тургенева (вблизи строения № 219)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фрукты и овощи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13 746,00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68 730,00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М-71478-01-06-24/150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</w:tbl>
    <w:p>
      <w:pPr>
        <w:rPr>
          <w:rFonts w:ascii="PT Astra Serif" w:hAnsi="PT Astra Serif" w:cs="PT Astra Serif"/>
          <w:b w:val="0"/>
          <w:bCs w:val="0"/>
          <w:sz w:val="20"/>
          <w:szCs w:val="20"/>
        </w:r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sectPr>
      <w:headerReference w:type="default" r:id="rId13"/>
      <w:headerReference w:type="first" r:id="rId14"/>
      <w:footerReference w:type="first" r:id="rId17"/>
      <w:footnotePr/>
      <w:endnotePr/>
      <w:type w:val="continuous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1">
    <w:name w:val="Heading 1"/>
    <w:basedOn w:val="956"/>
    <w:next w:val="956"/>
    <w:link w:val="7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2">
    <w:name w:val="Heading 1 Char"/>
    <w:basedOn w:val="957"/>
    <w:link w:val="781"/>
    <w:uiPriority w:val="9"/>
    <w:rPr>
      <w:rFonts w:ascii="Arial" w:hAnsi="Arial" w:eastAsia="Arial" w:cs="Arial"/>
      <w:sz w:val="40"/>
      <w:szCs w:val="40"/>
    </w:rPr>
  </w:style>
  <w:style w:type="paragraph" w:styleId="783">
    <w:name w:val="Heading 2"/>
    <w:basedOn w:val="956"/>
    <w:next w:val="956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4">
    <w:name w:val="Heading 2 Char"/>
    <w:basedOn w:val="957"/>
    <w:link w:val="783"/>
    <w:uiPriority w:val="9"/>
    <w:rPr>
      <w:rFonts w:ascii="Arial" w:hAnsi="Arial" w:eastAsia="Arial" w:cs="Arial"/>
      <w:sz w:val="34"/>
    </w:rPr>
  </w:style>
  <w:style w:type="paragraph" w:styleId="785">
    <w:name w:val="Heading 3"/>
    <w:basedOn w:val="956"/>
    <w:next w:val="956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6">
    <w:name w:val="Heading 3 Char"/>
    <w:basedOn w:val="957"/>
    <w:link w:val="785"/>
    <w:uiPriority w:val="9"/>
    <w:rPr>
      <w:rFonts w:ascii="Arial" w:hAnsi="Arial" w:eastAsia="Arial" w:cs="Arial"/>
      <w:sz w:val="30"/>
      <w:szCs w:val="30"/>
    </w:rPr>
  </w:style>
  <w:style w:type="paragraph" w:styleId="787">
    <w:name w:val="Heading 4"/>
    <w:basedOn w:val="956"/>
    <w:next w:val="956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8">
    <w:name w:val="Heading 4 Char"/>
    <w:basedOn w:val="957"/>
    <w:link w:val="787"/>
    <w:uiPriority w:val="9"/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956"/>
    <w:next w:val="956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0">
    <w:name w:val="Heading 5 Char"/>
    <w:basedOn w:val="957"/>
    <w:link w:val="789"/>
    <w:uiPriority w:val="9"/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956"/>
    <w:next w:val="956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2">
    <w:name w:val="Heading 6 Char"/>
    <w:basedOn w:val="957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956"/>
    <w:next w:val="956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>
    <w:name w:val="Heading 7 Char"/>
    <w:basedOn w:val="957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5">
    <w:name w:val="Heading 8"/>
    <w:basedOn w:val="956"/>
    <w:next w:val="956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6">
    <w:name w:val="Heading 8 Char"/>
    <w:basedOn w:val="957"/>
    <w:link w:val="795"/>
    <w:uiPriority w:val="9"/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956"/>
    <w:next w:val="956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>
    <w:name w:val="Heading 9 Char"/>
    <w:basedOn w:val="957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uiPriority w:val="1"/>
    <w:qFormat/>
    <w:pPr>
      <w:spacing w:before="0" w:after="0" w:line="240" w:lineRule="auto"/>
    </w:pPr>
  </w:style>
  <w:style w:type="character" w:styleId="800">
    <w:name w:val="Title Char"/>
    <w:basedOn w:val="957"/>
    <w:link w:val="962"/>
    <w:uiPriority w:val="10"/>
    <w:rPr>
      <w:sz w:val="48"/>
      <w:szCs w:val="48"/>
    </w:rPr>
  </w:style>
  <w:style w:type="paragraph" w:styleId="801">
    <w:name w:val="Subtitle"/>
    <w:basedOn w:val="956"/>
    <w:next w:val="956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>
    <w:name w:val="Subtitle Char"/>
    <w:basedOn w:val="957"/>
    <w:link w:val="801"/>
    <w:uiPriority w:val="11"/>
    <w:rPr>
      <w:sz w:val="24"/>
      <w:szCs w:val="24"/>
    </w:rPr>
  </w:style>
  <w:style w:type="paragraph" w:styleId="803">
    <w:name w:val="Quote"/>
    <w:basedOn w:val="956"/>
    <w:next w:val="956"/>
    <w:link w:val="804"/>
    <w:uiPriority w:val="29"/>
    <w:qFormat/>
    <w:pPr>
      <w:ind w:left="720" w:right="720"/>
    </w:pPr>
    <w:rPr>
      <w:i/>
    </w:rPr>
  </w:style>
  <w:style w:type="character" w:styleId="804">
    <w:name w:val="Quote Char"/>
    <w:link w:val="803"/>
    <w:uiPriority w:val="29"/>
    <w:rPr>
      <w:i/>
    </w:rPr>
  </w:style>
  <w:style w:type="paragraph" w:styleId="805">
    <w:name w:val="Intense Quote"/>
    <w:basedOn w:val="956"/>
    <w:next w:val="956"/>
    <w:link w:val="8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>
    <w:name w:val="Intense Quote Char"/>
    <w:link w:val="805"/>
    <w:uiPriority w:val="30"/>
    <w:rPr>
      <w:i/>
    </w:rPr>
  </w:style>
  <w:style w:type="paragraph" w:styleId="807">
    <w:name w:val="Header"/>
    <w:basedOn w:val="956"/>
    <w:link w:val="8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8">
    <w:name w:val="Header Char"/>
    <w:basedOn w:val="957"/>
    <w:link w:val="807"/>
    <w:uiPriority w:val="99"/>
  </w:style>
  <w:style w:type="paragraph" w:styleId="809">
    <w:name w:val="Footer"/>
    <w:basedOn w:val="956"/>
    <w:link w:val="8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0">
    <w:name w:val="Footer Char"/>
    <w:basedOn w:val="957"/>
    <w:link w:val="809"/>
    <w:uiPriority w:val="99"/>
  </w:style>
  <w:style w:type="paragraph" w:styleId="811">
    <w:name w:val="Caption"/>
    <w:basedOn w:val="956"/>
    <w:next w:val="9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2">
    <w:name w:val="Caption Char"/>
    <w:basedOn w:val="811"/>
    <w:link w:val="809"/>
    <w:uiPriority w:val="99"/>
  </w:style>
  <w:style w:type="table" w:styleId="813">
    <w:name w:val="Table Grid"/>
    <w:basedOn w:val="9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Table Grid Light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Plain Table 1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>
    <w:name w:val="Grid Table 4 - Accent 1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3">
    <w:name w:val="Grid Table 4 - Accent 2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Grid Table 4 - Accent 3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5">
    <w:name w:val="Grid Table 4 - Accent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Grid Table 4 - Accent 5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7">
    <w:name w:val="Grid Table 4 - Accent 6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8">
    <w:name w:val="Grid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2">
    <w:name w:val="Grid Table 5 Dark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5">
    <w:name w:val="Grid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6">
    <w:name w:val="Grid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7">
    <w:name w:val="Grid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8">
    <w:name w:val="Grid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9">
    <w:name w:val="Grid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0">
    <w:name w:val="Grid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7">
    <w:name w:val="List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8">
    <w:name w:val="List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9">
    <w:name w:val="List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0">
    <w:name w:val="List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1">
    <w:name w:val="List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2">
    <w:name w:val="List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5">
    <w:name w:val="List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6">
    <w:name w:val="List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7">
    <w:name w:val="List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8">
    <w:name w:val="List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9">
    <w:name w:val="List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0">
    <w:name w:val="List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1">
    <w:name w:val="List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2">
    <w:name w:val="List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3">
    <w:name w:val="List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4">
    <w:name w:val="List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5">
    <w:name w:val="List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6">
    <w:name w:val="List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7">
    <w:name w:val="List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8">
    <w:name w:val="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0">
    <w:name w:val="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1">
    <w:name w:val="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2">
    <w:name w:val="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3">
    <w:name w:val="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4">
    <w:name w:val="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5">
    <w:name w:val="Bordered &amp; 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6">
    <w:name w:val="Bordered &amp; 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7">
    <w:name w:val="Bordered &amp; 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8">
    <w:name w:val="Bordered &amp; 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9">
    <w:name w:val="Bordered &amp; 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0">
    <w:name w:val="Bordered &amp; 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1">
    <w:name w:val="Bordered &amp; 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2">
    <w:name w:val="Bordered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3">
    <w:name w:val="Bordered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4">
    <w:name w:val="Bordered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5">
    <w:name w:val="Bordered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6">
    <w:name w:val="Bordered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7">
    <w:name w:val="Bordered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8">
    <w:name w:val="Bordered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9">
    <w:name w:val="footnote text"/>
    <w:basedOn w:val="956"/>
    <w:link w:val="940"/>
    <w:uiPriority w:val="99"/>
    <w:semiHidden/>
    <w:unhideWhenUsed/>
    <w:pPr>
      <w:spacing w:after="40" w:line="240" w:lineRule="auto"/>
    </w:pPr>
    <w:rPr>
      <w:sz w:val="18"/>
    </w:rPr>
  </w:style>
  <w:style w:type="character" w:styleId="940">
    <w:name w:val="Footnote Text Char"/>
    <w:link w:val="939"/>
    <w:uiPriority w:val="99"/>
    <w:rPr>
      <w:sz w:val="18"/>
    </w:rPr>
  </w:style>
  <w:style w:type="character" w:styleId="941">
    <w:name w:val="footnote reference"/>
    <w:basedOn w:val="957"/>
    <w:uiPriority w:val="99"/>
    <w:unhideWhenUsed/>
    <w:rPr>
      <w:vertAlign w:val="superscript"/>
    </w:rPr>
  </w:style>
  <w:style w:type="paragraph" w:styleId="942">
    <w:name w:val="endnote text"/>
    <w:basedOn w:val="956"/>
    <w:link w:val="943"/>
    <w:uiPriority w:val="99"/>
    <w:semiHidden/>
    <w:unhideWhenUsed/>
    <w:pPr>
      <w:spacing w:after="0" w:line="240" w:lineRule="auto"/>
    </w:pPr>
    <w:rPr>
      <w:sz w:val="20"/>
    </w:r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basedOn w:val="957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character" w:styleId="957" w:default="1">
    <w:name w:val="Default Paragraph Font"/>
    <w:uiPriority w:val="1"/>
    <w:semiHidden/>
    <w:unhideWhenUsed/>
  </w:style>
  <w:style w:type="table" w:styleId="9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9" w:default="1">
    <w:name w:val="No List"/>
    <w:uiPriority w:val="99"/>
    <w:semiHidden/>
    <w:unhideWhenUsed/>
  </w:style>
  <w:style w:type="paragraph" w:styleId="960">
    <w:name w:val="List Paragraph"/>
    <w:basedOn w:val="956"/>
    <w:link w:val="961"/>
    <w:uiPriority w:val="34"/>
    <w:qFormat/>
    <w:pPr>
      <w:contextualSpacing/>
      <w:ind w:left="720"/>
    </w:pPr>
    <w:rPr>
      <w:rFonts w:eastAsia="Calibri"/>
    </w:rPr>
  </w:style>
  <w:style w:type="character" w:styleId="961" w:customStyle="1">
    <w:name w:val="Абзац списка Знак"/>
    <w:link w:val="960"/>
    <w:uiPriority w:val="34"/>
    <w:rPr>
      <w:rFonts w:ascii="Calibri" w:hAnsi="Calibri" w:eastAsia="Calibri" w:cs="Times New Roman"/>
    </w:rPr>
  </w:style>
  <w:style w:type="paragraph" w:styleId="962">
    <w:name w:val="Title"/>
    <w:basedOn w:val="956"/>
    <w:link w:val="963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963" w:customStyle="1">
    <w:name w:val="Заголовок Знак"/>
    <w:basedOn w:val="957"/>
    <w:link w:val="962"/>
    <w:rPr>
      <w:rFonts w:ascii="Times New Roman" w:hAnsi="Times New Roman" w:eastAsia="Times New Roman" w:cs="Times New Roman"/>
      <w:b/>
      <w:sz w:val="28"/>
      <w:szCs w:val="20"/>
    </w:rPr>
  </w:style>
  <w:style w:type="character" w:styleId="964">
    <w:name w:val="Hyperlink"/>
    <w:basedOn w:val="957"/>
    <w:uiPriority w:val="99"/>
    <w:unhideWhenUsed/>
    <w:rPr>
      <w:color w:val="0563c1" w:themeColor="hyperlink"/>
      <w:u w:val="single"/>
    </w:rPr>
  </w:style>
  <w:style w:type="paragraph" w:styleId="965" w:customStyle="1">
    <w:name w:val="основной"/>
    <w:basedOn w:val="956"/>
    <w:pPr>
      <w:ind w:left="1" w:right="1" w:firstLine="284"/>
      <w:jc w:val="both"/>
      <w:spacing w:before="1" w:after="1" w:line="240" w:lineRule="auto"/>
      <w:widowControl w:val="off"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hyperlink" Target="mailto:dpr@krd.ru" TargetMode="External"/><Relationship Id="rId19" Type="http://schemas.openxmlformats.org/officeDocument/2006/relationships/hyperlink" Target="https://www.roseltorg.ru" TargetMode="External"/><Relationship Id="rId20" Type="http://schemas.openxmlformats.org/officeDocument/2006/relationships/hyperlink" Target="https://krd.ru/" TargetMode="External"/><Relationship Id="rId21" Type="http://schemas.openxmlformats.org/officeDocument/2006/relationships/hyperlink" Target="https://www.roseltor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revision>24</cp:revision>
  <dcterms:created xsi:type="dcterms:W3CDTF">2023-03-31T12:12:00Z</dcterms:created>
  <dcterms:modified xsi:type="dcterms:W3CDTF">2024-09-24T06:33:09Z</dcterms:modified>
</cp:coreProperties>
</file>