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95A79">
        <w:rPr>
          <w:rFonts w:ascii="Trebuchet MS" w:hAnsi="Trebuchet MS" w:cs="Trebuchet MS"/>
          <w:sz w:val="24"/>
          <w:szCs w:val="24"/>
          <w:lang w:eastAsia="ru-RU"/>
        </w:rPr>
        <w:t>04 июл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D95A7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95A79">
              <w:rPr>
                <w:rFonts w:ascii="Trebuchet MS" w:hAnsi="Trebuchet MS" w:cs="arial cyr"/>
              </w:rPr>
              <w:t>04</w:t>
            </w:r>
            <w:r w:rsidR="006C27CE"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501F55">
              <w:rPr>
                <w:rFonts w:ascii="Trebuchet MS" w:hAnsi="Trebuchet MS" w:cs="arial cyr"/>
              </w:rPr>
              <w:t>2</w:t>
            </w:r>
            <w:r w:rsidR="00D95A79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.0</w:t>
            </w:r>
            <w:r w:rsidR="000E3A17">
              <w:rPr>
                <w:rFonts w:ascii="Trebuchet MS" w:hAnsi="Trebuchet MS" w:cs="arial cyr"/>
              </w:rPr>
              <w:t>6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501F55">
              <w:rPr>
                <w:rFonts w:ascii="Trebuchet MS" w:hAnsi="Trebuchet MS"/>
              </w:rPr>
              <w:t>86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A77C77" w:rsidP="00C82C0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82C0D">
              <w:rPr>
                <w:rFonts w:ascii="Trebuchet MS" w:hAnsi="Trebuchet MS"/>
              </w:rPr>
              <w:t>4</w:t>
            </w:r>
            <w:r w:rsidR="00501F55">
              <w:rPr>
                <w:rFonts w:ascii="Trebuchet MS" w:hAnsi="Trebuchet MS"/>
              </w:rPr>
              <w:t>5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6</w:t>
            </w:r>
            <w:r w:rsidR="00C82C0D">
              <w:rPr>
                <w:rFonts w:ascii="Trebuchet MS" w:hAnsi="Trebuchet MS"/>
              </w:rPr>
              <w:t>600</w:t>
            </w:r>
            <w:r w:rsidR="00A77C77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C82C0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C82C0D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C82C0D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86EDD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58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501F55">
              <w:rPr>
                <w:rFonts w:ascii="Trebuchet MS" w:hAnsi="Trebuchet MS"/>
              </w:rPr>
              <w:t>2</w:t>
            </w:r>
            <w:r w:rsidR="00C82C0D">
              <w:rPr>
                <w:rFonts w:ascii="Trebuchet MS" w:hAnsi="Trebuchet MS"/>
              </w:rPr>
              <w:t>2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C82C0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501F55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C82C0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C82C0D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C82C0D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930</w:t>
            </w:r>
            <w:r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7</w:t>
            </w:r>
            <w:r w:rsidR="00C82C0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027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501F55">
              <w:rPr>
                <w:rFonts w:ascii="Trebuchet MS" w:hAnsi="Trebuchet MS"/>
              </w:rPr>
              <w:t>8</w:t>
            </w:r>
            <w:r w:rsidR="00C82C0D">
              <w:rPr>
                <w:rFonts w:ascii="Trebuchet MS" w:hAnsi="Trebuchet MS"/>
              </w:rPr>
              <w:t>0</w:t>
            </w:r>
            <w:r w:rsidR="00501F55">
              <w:rPr>
                <w:rFonts w:ascii="Trebuchet MS" w:hAnsi="Trebuchet MS"/>
              </w:rPr>
              <w:t>82,5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C82C0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501F55">
              <w:rPr>
                <w:rFonts w:ascii="Trebuchet MS" w:hAnsi="Trebuchet MS" w:cs="Trebuchet MS"/>
                <w:lang w:eastAsia="ru-RU"/>
              </w:rPr>
              <w:t>0,</w:t>
            </w:r>
            <w:r w:rsidR="00C82C0D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50</w:t>
            </w:r>
            <w:r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3140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C82C0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+1,</w:t>
            </w:r>
            <w:r w:rsidR="00C82C0D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A77C77" w:rsidP="00C82C0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C82C0D">
              <w:rPr>
                <w:rFonts w:ascii="Trebuchet MS" w:hAnsi="Trebuchet MS"/>
              </w:rPr>
              <w:t>8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A77C77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400</w:t>
            </w:r>
            <w:r w:rsidR="00501F55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82C0D" w:rsidP="00C82C0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01F55">
              <w:rPr>
                <w:rFonts w:ascii="Trebuchet MS" w:hAnsi="Trebuchet MS" w:cs="Trebuchet MS"/>
                <w:lang w:eastAsia="ru-RU"/>
              </w:rPr>
              <w:t>1</w:t>
            </w:r>
            <w:r w:rsidR="00A77C77">
              <w:rPr>
                <w:rFonts w:ascii="Trebuchet MS" w:hAnsi="Trebuchet MS" w:cs="Trebuchet MS"/>
                <w:lang w:eastAsia="ru-RU"/>
              </w:rPr>
              <w:t>,0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FF2FB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FF2FB5" w:rsidRPr="00762D03">
              <w:rPr>
                <w:rFonts w:ascii="Trebuchet MS" w:hAnsi="Trebuchet MS"/>
                <w:lang w:val="en-US"/>
              </w:rPr>
              <w:t>5500</w:t>
            </w:r>
            <w:r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4500</w:t>
            </w:r>
            <w:r w:rsidR="00A77C77">
              <w:rPr>
                <w:rFonts w:ascii="Trebuchet MS" w:hAnsi="Trebuchet MS"/>
              </w:rPr>
              <w:t>,</w:t>
            </w:r>
            <w:r w:rsidR="00501F55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C82C0D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val="en-US" w:eastAsia="ru-RU"/>
              </w:rPr>
              <w:t xml:space="preserve">      </w:t>
            </w:r>
            <w:r w:rsidR="00762D03">
              <w:rPr>
                <w:rFonts w:ascii="Trebuchet MS" w:hAnsi="Trebuchet MS" w:cs="Trebuchet MS"/>
                <w:lang w:eastAsia="ru-RU"/>
              </w:rPr>
              <w:t xml:space="preserve"> </w:t>
            </w:r>
            <w:r w:rsidR="00A77C77">
              <w:rPr>
                <w:rFonts w:ascii="Trebuchet MS" w:hAnsi="Trebuchet MS" w:cs="Trebuchet MS"/>
                <w:lang w:val="en-US" w:eastAsia="ru-RU"/>
              </w:rPr>
              <w:t xml:space="preserve"> </w:t>
            </w:r>
            <w:r w:rsidR="00C82C0D">
              <w:rPr>
                <w:rFonts w:ascii="Trebuchet MS" w:hAnsi="Trebuchet MS" w:cs="Trebuchet MS"/>
                <w:lang w:eastAsia="ru-RU"/>
              </w:rPr>
              <w:t xml:space="preserve">   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501F55" w:rsidP="00D95A7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95A79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.2023/ 2</w:t>
            </w:r>
            <w:r w:rsidR="00D95A79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.06.2023,%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1F5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1,</w:t>
            </w:r>
            <w:r w:rsidR="00471F59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744BA" w:rsidRPr="00762D03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A77C77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80</w:t>
            </w:r>
          </w:p>
        </w:tc>
        <w:tc>
          <w:tcPr>
            <w:tcW w:w="1701" w:type="dxa"/>
          </w:tcPr>
          <w:p w:rsidR="00C6248C" w:rsidRPr="00762D03" w:rsidRDefault="002C78AB" w:rsidP="00C82C0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C82C0D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1F59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</w:t>
            </w:r>
            <w:r w:rsidR="00471F59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C6248C" w:rsidRPr="00762D03" w:rsidRDefault="00C86EDD" w:rsidP="00C82C0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C82C0D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56,80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5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1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82C0D" w:rsidP="00C82C0D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A77C7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C82C0D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  <w:lang w:val="en-US"/>
              </w:rPr>
              <w:t>0</w:t>
            </w:r>
            <w:r w:rsidR="00C82C0D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82C0D" w:rsidP="00C82C0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E57" w:rsidRDefault="00425E57">
      <w:pPr>
        <w:spacing w:after="0" w:line="240" w:lineRule="auto"/>
      </w:pPr>
      <w:r>
        <w:separator/>
      </w:r>
    </w:p>
  </w:endnote>
  <w:endnote w:type="continuationSeparator" w:id="0">
    <w:p w:rsidR="00425E57" w:rsidRDefault="0042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E57" w:rsidRDefault="00425E57">
      <w:pPr>
        <w:spacing w:after="0" w:line="240" w:lineRule="auto"/>
      </w:pPr>
      <w:r>
        <w:separator/>
      </w:r>
    </w:p>
  </w:footnote>
  <w:footnote w:type="continuationSeparator" w:id="0">
    <w:p w:rsidR="00425E57" w:rsidRDefault="00425E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136E56"/>
    <w:rsid w:val="00264B45"/>
    <w:rsid w:val="002C78AB"/>
    <w:rsid w:val="002E46DF"/>
    <w:rsid w:val="002F0066"/>
    <w:rsid w:val="00404E49"/>
    <w:rsid w:val="00425E57"/>
    <w:rsid w:val="00442C39"/>
    <w:rsid w:val="00471F59"/>
    <w:rsid w:val="00476AF9"/>
    <w:rsid w:val="00501F55"/>
    <w:rsid w:val="00696E16"/>
    <w:rsid w:val="006B00D2"/>
    <w:rsid w:val="006B6C5A"/>
    <w:rsid w:val="006C27CE"/>
    <w:rsid w:val="006D39B7"/>
    <w:rsid w:val="00762D03"/>
    <w:rsid w:val="008131B9"/>
    <w:rsid w:val="00866558"/>
    <w:rsid w:val="008C64BD"/>
    <w:rsid w:val="00904509"/>
    <w:rsid w:val="009761AA"/>
    <w:rsid w:val="00996235"/>
    <w:rsid w:val="009C43F9"/>
    <w:rsid w:val="00A77C77"/>
    <w:rsid w:val="00C36053"/>
    <w:rsid w:val="00C546D5"/>
    <w:rsid w:val="00C6248C"/>
    <w:rsid w:val="00C82C0D"/>
    <w:rsid w:val="00C86EDD"/>
    <w:rsid w:val="00D174FB"/>
    <w:rsid w:val="00D27B07"/>
    <w:rsid w:val="00D95A79"/>
    <w:rsid w:val="00DB7742"/>
    <w:rsid w:val="00DF1EB8"/>
    <w:rsid w:val="00E744BA"/>
    <w:rsid w:val="00EE2F47"/>
    <w:rsid w:val="00F42478"/>
    <w:rsid w:val="00F53AC1"/>
    <w:rsid w:val="00F8157F"/>
    <w:rsid w:val="00FA4189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1D4916F-86F1-4C3F-A5E5-BAA636EB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428</cp:revision>
  <dcterms:created xsi:type="dcterms:W3CDTF">2019-06-04T11:59:00Z</dcterms:created>
  <dcterms:modified xsi:type="dcterms:W3CDTF">2023-10-25T10:47:00Z</dcterms:modified>
</cp:coreProperties>
</file>