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УТВЕРЖДАЮ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Начальник управления муниципального контроля администрации муниципального образования город Краснодар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_________________М.Б.Дагбаш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____________________________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         (дата)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after="0" w:afterAutospacing="0" w:line="283" w:lineRule="atLeast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Программа профилактики 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рисков причинения вреда (ущерба) охраняемым законом ценностям при осуществлении регионального государственного строительного надзора на 2025 год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5386" w:right="0" w:firstLine="0"/>
        <w:spacing w:after="0" w:afterAutospacing="0" w:line="283" w:lineRule="atLeast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0" w:right="0" w:firstLine="0"/>
        <w:jc w:val="center"/>
        <w:spacing w:after="0" w:afterAutospacing="0" w:line="283" w:lineRule="atLeast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  <w:t xml:space="preserve">ПАСПОРТ</w:t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p>
      <w:pPr>
        <w:ind w:left="0" w:right="0" w:firstLine="0"/>
        <w:jc w:val="center"/>
        <w:spacing w:after="0" w:afterAutospacing="0" w:line="283" w:lineRule="atLeast"/>
        <w:rPr>
          <w:rFonts w:ascii="PT Astra Serif" w:hAnsi="PT Astra Serif" w:eastAsia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sz w:val="27"/>
          <w:szCs w:val="27"/>
          <w:highlight w:val="none"/>
        </w:rPr>
      </w:r>
    </w:p>
    <w:tbl>
      <w:tblPr>
        <w:tblStyle w:val="710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5812"/>
      </w:tblGrid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  <w:t xml:space="preserve">Наименование программы</w:t>
            </w: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строительного надзора на 2025 год</w:t>
            </w: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Правовые основания разработки программы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Федеральный закон от 31.07.2020 № 248-ФЗ «О государственном контроле (надзоре) и муниципального контроле Российской Федерации»(далее – Федеральный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 закон </w:t>
              <w:br/>
              <w:t xml:space="preserve">№ 248-ФЗ), постановление Правительства Российской Федерации от 25.06.2021 № 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Разработчик программы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Управление муниципального контроля администрации муниципального образования город Краснодар (далее – Управление)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Цели программы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Предотвращение рисков причинения вреда охраняемым законом ценностям.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  <w:p>
            <w:pPr>
              <w:pStyle w:val="858"/>
              <w:numPr>
                <w:ilvl w:val="0"/>
                <w:numId w:val="1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Предупреждение нарушений обязательных требований (снижение числа нарушений обязательных требований (снижение числа нарушений обязательных требований) в подконтрольной сфере общественных отношений.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  <w:p>
            <w:pPr>
              <w:pStyle w:val="858"/>
              <w:numPr>
                <w:ilvl w:val="0"/>
                <w:numId w:val="1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Создание инфраструктуры профилактики рисков причинения вреда охраняемым законом ценностям.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  <w:p>
            <w:pPr>
              <w:pStyle w:val="858"/>
              <w:numPr>
                <w:ilvl w:val="0"/>
                <w:numId w:val="1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Сокращение количества выявленных нарушений обязательных требований в области регионального государственного строительного надзора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  <w:p>
            <w:pPr>
              <w:pStyle w:val="858"/>
              <w:numPr>
                <w:ilvl w:val="0"/>
                <w:numId w:val="1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Увеличение количества подконтрольных субъектов, исполнивших предостережения о недопустимости нарушений обязательных требований.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  <w:p>
            <w:pPr>
              <w:pStyle w:val="858"/>
              <w:numPr>
                <w:ilvl w:val="0"/>
                <w:numId w:val="1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Иные цели.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Задачи программы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снижение рисков их возникновения.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Установление и оценк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а зависимости видов,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пределение перечня видов и сбор статистических данных, необходимых для орга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низации профилактической работы.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овышение квалификации кадрового соста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ва контрольно-надзорных органов.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оздание системы консультирования подконтрольных субъектов, в том числе с использованием современных информационно-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телекоммуникационных технологий.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овышение уровня ответственности подконтрольных субъектов за соблюдением требований законодательства и нормативных правовых актов, регулирующих правоотношения в области реги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онального строительного надзора.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овышение информированности граждан, подконтрольных субъектов о требованиях законодательства в области регионального государ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ственного строительного надзора.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  <w:p>
            <w:pPr>
              <w:pStyle w:val="858"/>
              <w:numPr>
                <w:ilvl w:val="0"/>
                <w:numId w:val="9"/>
              </w:numPr>
              <w:ind w:left="0" w:right="0" w:firstLine="425"/>
              <w:jc w:val="both"/>
              <w:spacing w:after="0" w:afterAutospacing="0" w:line="283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ыявление и устранение причин и условий, способствующих совершению подконтрольных субъектов наиболее распространенных нарушений законодательства в области регионального государственного строительного надзора.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2" w:lineRule="atLeast"/>
              <w:rPr>
                <w:rFonts w:ascii="PT Astra Serif" w:hAnsi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Сроки и этапы реализации программы</w:t>
            </w:r>
            <w:r>
              <w:rPr>
                <w:rFonts w:ascii="PT Astra Serif" w:hAnsi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cs="PT Astra Serif"/>
                <w:sz w:val="27"/>
                <w:szCs w:val="27"/>
                <w:highlight w:val="none"/>
                <w14:ligatures w14:val="none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2" w:lineRule="atLeast"/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</w:rPr>
              <w:t xml:space="preserve"> год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highlight w:val="none"/>
                <w14:ligatures w14:val="none"/>
              </w:rPr>
            </w:r>
          </w:p>
        </w:tc>
      </w:tr>
      <w:tr>
        <w:tblPrEx/>
        <w:trPr>
          <w:trHeight w:val="10535"/>
        </w:trPr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Ожидаемые конечные результаты реализации программы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нижение рисков причинения вре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да охраняемым законом ценностям.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величение доли законопослушных подконтрольных субъектов - развитие системы профилактических мероприят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ий контрольно-надзорного органа.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недрение различных способов профилактики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 рисков причинения вреда (ущерба) охраняемым законом ценностям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азработка и внедрение технологий профилактической работы внут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ри контрольно-надзорного органа.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Обеспечение квалифицированной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профилактической работы должностных лиц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контрольно-надзорного органа.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овышение прозрачности деятельнос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ти контрольно-надзорного органа.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меньшение административной нагр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узки на подконтрольные субъекты.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овышение уровня правовой грамо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тности подконтрольных субъектов.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беспечение единообразия понимания предмета конт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роля подконтрольными субъектами.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отивация подконтрольных субъек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тов к добросовестному поведению.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нижение количества нарушений в области регионального государ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ственного строительного надзора.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41" w:right="0" w:firstLine="38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овышение уровня информированности граждан об обязательных требованиях в области регионального государственного строительного надзора.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</w:t>
      </w:r>
      <w:r>
        <w:rPr>
          <w:rFonts w:ascii="Times New Roman" w:hAnsi="Times New Roman" w:cs="Times New Roman"/>
          <w:b/>
          <w:sz w:val="28"/>
          <w:szCs w:val="28"/>
        </w:rPr>
        <w:t xml:space="preserve">ба) охраняемым законом ценностям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numPr>
          <w:ilvl w:val="1"/>
          <w:numId w:val="5"/>
        </w:numPr>
        <w:ind w:left="0" w:firstLine="709"/>
        <w:rPr>
          <w:b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Описание типов и </w:t>
      </w:r>
      <w:r>
        <w:rPr>
          <w:b/>
          <w:iCs/>
          <w:color w:val="auto"/>
          <w:sz w:val="28"/>
          <w:szCs w:val="28"/>
        </w:rPr>
        <w:t xml:space="preserve">видов подконтрольных субъектов.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60"/>
        <w:ind w:firstLine="709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Юридические лица, индивидуальные предприниматели, </w:t>
      </w:r>
      <w:r>
        <w:rPr>
          <w:color w:val="auto"/>
          <w:sz w:val="28"/>
          <w:szCs w:val="28"/>
        </w:rPr>
        <w:t xml:space="preserve">физические лица.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60"/>
        <w:numPr>
          <w:ilvl w:val="1"/>
          <w:numId w:val="5"/>
        </w:numPr>
        <w:ind w:left="0" w:firstLine="709"/>
        <w:rPr>
          <w:b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Описание ключевых, наиболее значимых проблем.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проблемами явл</w:t>
      </w:r>
      <w:r>
        <w:rPr>
          <w:rFonts w:ascii="Times New Roman" w:hAnsi="Times New Roman" w:cs="Times New Roman"/>
          <w:sz w:val="28"/>
          <w:szCs w:val="28"/>
        </w:rPr>
        <w:t xml:space="preserve">яются потенциальные негативные последствия возможного несоблюдения юридическими лицами, индивидуальными предпринимателями, должностными лицами требований, установленных федеральными законами и принимаемыми в соответствии с ними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при строительстве,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1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Описание текущих и ожидаемых тенденций, которые могут оказать воздействие на состояние подконтрольной сферы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за 9 месяцев 2024 года частично реализована программа профилактики причинения вреда (ущерба) охраняемым законом ценностям Управления,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утвержденная 11.12.2023 начальником Управления. Полностью достигнуты показатели количества проведенных профилактических мероприятий и полнота информации, размещенной на официальном интернет-портале администрации муниципального образования город Краснодар.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 прав</w:t>
      </w:r>
      <w:r>
        <w:rPr>
          <w:rFonts w:ascii="Times New Roman" w:hAnsi="Times New Roman" w:cs="Times New Roman"/>
          <w:sz w:val="28"/>
          <w:szCs w:val="28"/>
        </w:rPr>
        <w:t xml:space="preserve">овой базы в области осуществления регионального государственного строительного надзора, в том числе, исключение избыточных, дублирующих, устаревших обязательных требований, дифференциация обязательных требований в зависимости от видов субъектов, нарушающих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 в области регионального государственного строительного надзора, ужесточение санкций на отдельные правонарушения может способствовать снижению количества правонарушений в области регионального государственного строительного надзора.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</w:t>
      </w:r>
      <w:r>
        <w:rPr>
          <w:rFonts w:ascii="Times New Roman" w:hAnsi="Times New Roman" w:cs="Times New Roman"/>
          <w:sz w:val="28"/>
          <w:szCs w:val="28"/>
        </w:rPr>
        <w:t xml:space="preserve"> (надзору)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видов государственного контроля (надзора), отнесенных к компетенции Управления, размещен на официальном сайте по ссылке: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https://krd.ru/administratsiya/administratsii-krasnodara/upravlenie-munitsipalnogo-kontrolya/norm-dok/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</w:t>
      </w:r>
      <w:r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Управлением были проведены следующие 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Выдано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Проведено 85 личных приемов граждан, в рамках которых осуществлялось консультирование по вопросам осуществления регионального государственного строительного надзора.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Осуществлено 28 устных консультирований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Размещено 60 публикаций о работе Управления в официальном телеграмм-канале t.me/umk_krd.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Статистические показатели состояния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подконтрольной сферы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Таблица 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10"/>
        <w:tblW w:w="9779" w:type="dxa"/>
        <w:tblLayout w:type="fixed"/>
        <w:tblLook w:val="04A0" w:firstRow="1" w:lastRow="0" w:firstColumn="1" w:lastColumn="0" w:noHBand="0" w:noVBand="1"/>
      </w:tblPr>
      <w:tblGrid>
        <w:gridCol w:w="5244"/>
        <w:gridCol w:w="1559"/>
        <w:gridCol w:w="1417"/>
        <w:gridCol w:w="1559"/>
      </w:tblGrid>
      <w:tr>
        <w:tblPrEx/>
        <w:trPr/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внеплановых надзорных мероприятий без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167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1080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917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выданных уведомлений о выявлении самовольной постройки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79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469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461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69"/>
        </w:trPr>
        <w:tc>
          <w:tcPr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объявленных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6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14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25"/>
        </w:trPr>
        <w:tc>
          <w:tcPr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консультирований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29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68" w:firstLine="0"/>
              <w:jc w:val="center"/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28</w:t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14:ligatures w14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Раздел 2. Цели и задачи профилактической работы в рамках осуществления регионального государ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ственного строительного надзора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2.1. Цели профилактической работы: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повыше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ние уровня ответственности юридических лиц, индивидуальных предпринимателей, должностных лиц по соблюдению требований законодательства и нормативных правовых актов, регулирующих правоотношения в области регионального государственного строительного 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повышение информированности юридических лиц, индивидуальных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предпринимателей, должностных лиц о требованиях законодательства в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регионального государственного строительного 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вовлечение в деятельность подконтрольных субъектов по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предупреждению нарушений законодательства в области регионального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государственного строительного 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выявление и устранение причин и условий, способствующих совершению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юридическими лицами, индивидуальными предпринимателями, должностными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лицами, наиболее распространенных нарушений законодательства в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регионального государственного строительного 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иные цели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2.2. Задачи профилактической работы: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выявление причин, факторов и условий, способствующих причинению вреда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охраняемым законом ценностям и нарушению обязательных требований,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определение способов устранения или снижения рисков их возникновения;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устранение причин, факторов и условий, способствующих возможному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причинению вреда охраняемым законом ценностям и нарушению обязательных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требований;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установление и оценка зависимости видов, форм и интенсивности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профилактических мероприятий от особенностей конкретных подконтрольных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субъектов (объектов) и присвоенного им уровня риска (класса опасности),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проведение профилактических мероприятий с учетом данных факторов;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определение перечня видов и сбор статистических данных, необходимых для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организации профилактической работы;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повышение квалификации кадрового состава контрольно-надзорных органов;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повышение уровня ответственности подконтрольных субъектов 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соблюдением требований законодательства и нормативных правовых актов,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регулирующих правоотношения в области регионального строительного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повышение информированности граждан, подконтрольных субъектов 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требованиях законодательства в области регионального государственного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строительного 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выявление и устранение причин и условий, способствующих совершению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нарушений;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подконтрольных субъектов наиболее распространенных нарушений законодательства в области регионального государственного строительного надзора.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Раздел 3. Перечень профилактических мероприятий, сроки и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периодичность их проведения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 осуществлении регионального государственного строительного надзора проводятся следующие виды профилактических мероприятий: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информирование;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обобщение правоприменительной практики;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в) объявление предостережения;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г) консультирование;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д) профилактический визит.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Информирование осуществляется в соответствии со статьей 46 Ф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едерального закона 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3.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Обобщение правоприменительной практики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осуществляется в соответствии со статьей 47 Федерального закона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Доклад, содержащий результаты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бобщ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ения правоприменительной практики Управления, готовится один раз в год, не позднее 15 марта года, следующего за отчетным, и размещается на официальном сайте администрации муниципального образования город Краснодар в информационно-телекоммуникационной сети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Интернет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 позднее трех дней со дня его утверждения.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Управление в соответствии с частью 3 статьи 47 Федерального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248-ФЗ обеспечивает публичное обсуждение проекта доклада, содержащего результаты обобщения правоприменительной практики Инспекции.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3.2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Объявление предостережения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осуществляется в соответствии со статьей 49 Федерального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Составление и направление предостережения осуществляется в срок не позднее 30 рабочих дней со дня получения Управлением сведений о готовящихся нарушениях либо признаках нарушения обязательных требований.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Контролируемое лицо не позднее 15 рабочих дней со дня получения предостережения о недопустимости нарушения обязательных требований вправе подать в Управление возражение в отношении указанного предостережения, в котором указываются: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наименование контролируемого лица - юридического лица, фамилия, имя, отчество (при наличии) контролируемого лица - индивидуального предпринимателя, гражданина;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идентификационный номер налогоплательщика - контролируемого лица;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дата и номер предостережения, направленного в адрес контролируемого лица;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Возражение в отношении предостережения о недопустимости нарушения обязательных требований может быть подано контролируемым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лицом в Управление на бумажном носителе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Управление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3.3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Консультирование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осуществляется в соответствии со статьей 50 Федерального закона 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Консультирование осуществляется инспектором по телефону,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Консультирование осуществляется: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по вопросам, связанным с организацией и осуществлением регионального государственного строительного надзора;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по вопросам, связанным с порядком обжалования действий (бездействия) должностных лиц.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3.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Профилактический визит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осуществляется в соответствии со статьей 52 Федерального закона № 248-ФЗ.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Срок проведения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профилактического визита не должен превышать один рабочий день.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Ответственные лица за исполнение Программы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Таблица 2.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tbl>
      <w:tblPr>
        <w:tblStyle w:val="710"/>
        <w:tblW w:w="9584" w:type="dxa"/>
        <w:tblLayout w:type="fixed"/>
        <w:tblLook w:val="04A0" w:firstRow="1" w:lastRow="0" w:firstColumn="1" w:lastColumn="0" w:noHBand="0" w:noVBand="1"/>
      </w:tblPr>
      <w:tblGrid>
        <w:gridCol w:w="6236"/>
        <w:gridCol w:w="3348"/>
      </w:tblGrid>
      <w:tr>
        <w:tblPrEx/>
        <w:trPr>
          <w:trHeight w:val="255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3"/>
                <w:szCs w:val="23"/>
              </w:rPr>
              <w:t xml:space="preserve">ФИО и должность </w:t>
            </w:r>
            <w:r>
              <w:rPr>
                <w:rFonts w:ascii="PT Astra Serif" w:hAnsi="PT Astra Serif" w:cs="PT Astra Serif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color w:val="auto"/>
                <w:sz w:val="23"/>
                <w:szCs w:val="23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3"/>
                <w:szCs w:val="23"/>
              </w:rPr>
              <w:t xml:space="preserve">Телефон </w:t>
            </w:r>
            <w:r>
              <w:rPr>
                <w:rFonts w:ascii="PT Astra Serif" w:hAnsi="PT Astra Serif" w:cs="PT Astra Serif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color w:val="auto"/>
                <w:sz w:val="23"/>
                <w:szCs w:val="23"/>
              </w:rPr>
            </w:r>
          </w:p>
        </w:tc>
      </w:tr>
      <w:tr>
        <w:tblPrEx/>
        <w:trPr>
          <w:trHeight w:val="277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Первый заместитель начальника Управления -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</w:r>
          </w:p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Рубанов Максим Викторович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218-91-00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</w:tc>
      </w:tr>
      <w:tr>
        <w:tblPrEx/>
        <w:trPr>
          <w:trHeight w:val="417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Заместитель начальника отдела комплексных проверок Управления -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</w:r>
          </w:p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Смольнякова Олеся Васильевна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218-91-28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</w:tc>
      </w:tr>
      <w:tr>
        <w:tblPrEx/>
        <w:trPr>
          <w:trHeight w:val="568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Заведующий сектором по Прикубанскому внутригородскому округу города Краснодара отдела комплексных проверок Управления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Панко Тихон Геннадьевич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218-91-28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Заведующий сектором по Карасунскому внутригородскому округу города Краснодара отдела комплексных проверок Управления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Гарькуша Александр Владиславович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218-91-29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Заведующий сектором по Центральному внутригородскому округу города Краснодара отдела комплексных проверок Управления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Филичкин Алексей Борисович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218-91-32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</w:tc>
      </w:tr>
      <w:tr>
        <w:tblPrEx/>
        <w:trPr>
          <w:trHeight w:val="568"/>
        </w:trPr>
        <w:tc>
          <w:tcPr>
            <w:tcW w:w="6236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Заведующий сектором по Западному внутригородскому округу города Краснодара отдела комплексных проверок Управления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Грицай Денис Андреевич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218-91-29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W w:w="6236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Заведующий сектором анализа легитимности информации о с строительной активности отдела комплексных проверок Управления -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  <w14:ligatures w14:val="none"/>
              </w:rPr>
            </w:r>
          </w:p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:highlight w:val="none"/>
              </w:rPr>
              <w:t xml:space="preserve">Мамедов Михаил Владиславович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  <w14:ligatures w14:val="none"/>
              </w:rPr>
            </w:r>
          </w:p>
        </w:tc>
        <w:tc>
          <w:tcPr>
            <w:tcW w:w="3348" w:type="dxa"/>
            <w:vMerge w:val="restart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  <w:t xml:space="preserve">8 (861) 218-91-28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3"/>
                <w:szCs w:val="23"/>
              </w:rPr>
            </w:r>
          </w:p>
        </w:tc>
      </w:tr>
    </w:tbl>
    <w:p>
      <w:pPr>
        <w:ind w:left="0" w:right="0" w:firstLine="0"/>
        <w:jc w:val="center"/>
        <w:spacing w:after="0" w:afterAutospacing="0" w:line="283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after="0" w:afterAutospacing="0" w:line="283" w:lineRule="atLeast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Раздел 4. Показатели результативности и эффективности программы профилактики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Ожидаемые результаты Программы: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58"/>
        <w:numPr>
          <w:ilvl w:val="0"/>
          <w:numId w:val="11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снижение рисков причинения вреда охраняемым законом ценностям и нарушения обязательных требований;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58"/>
        <w:numPr>
          <w:ilvl w:val="0"/>
          <w:numId w:val="11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повышение уровня правовой грамотности контролируемых лиц;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58"/>
        <w:numPr>
          <w:ilvl w:val="0"/>
          <w:numId w:val="11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формирование единообразия понимания предмета регионального государственного строительного надзора контролируемыми лицами;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58"/>
        <w:numPr>
          <w:ilvl w:val="0"/>
          <w:numId w:val="11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обеспечение квалифицированной профилактической работы должностных лиц Управления.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К социальным последствиям (эффектам) реализации Программы  относятся, прежде всего, снижение рисков причинения вреда охраняемым законом ценностям, повышение уровня правовой грамотности контролируемых лиц.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Экономический эффект от реализованных мероприятий: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58"/>
        <w:numPr>
          <w:ilvl w:val="0"/>
          <w:numId w:val="12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</w:t>
      </w:r>
      <w:r>
        <w:rPr>
          <w:rFonts w:ascii="Times New Roman" w:hAnsi="Times New Roman" w:cs="Times New Roman"/>
          <w:sz w:val="28"/>
          <w:szCs w:val="28"/>
        </w:rPr>
        <w:t xml:space="preserve">эффективно объявление предостережения о недопустимости нарушения обязательных требований, а не проведение внеплановых проверок;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58"/>
        <w:numPr>
          <w:ilvl w:val="0"/>
          <w:numId w:val="12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снижение количества зафиксированных нарушений обязательных требований законодательства.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58"/>
        <w:numPr>
          <w:ilvl w:val="0"/>
          <w:numId w:val="12"/>
        </w:numPr>
        <w:ind w:left="0" w:right="0" w:firstLine="709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Таблица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роведения профилактических мероприятий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регионального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строительного надзора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10"/>
        <w:tblW w:w="15373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676"/>
        <w:gridCol w:w="2224"/>
        <w:gridCol w:w="3685"/>
        <w:gridCol w:w="2693"/>
        <w:gridCol w:w="2976"/>
        <w:gridCol w:w="3118"/>
      </w:tblGrid>
      <w:tr>
        <w:tblPrEx/>
        <w:trPr/>
        <w:tc>
          <w:tcPr>
            <w:tcW w:w="6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Cs w:val="22"/>
              </w:rPr>
              <w:t xml:space="preserve">Форма мероприятия</w:t>
            </w:r>
            <w:r>
              <w:rPr>
                <w:b/>
                <w:bCs/>
                <w:color w:val="auto"/>
                <w:szCs w:val="22"/>
              </w:rPr>
            </w:r>
            <w:r>
              <w:rPr>
                <w:b/>
                <w:bCs/>
                <w:color w:val="auto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color w:val="auto"/>
                <w:szCs w:val="22"/>
              </w:rPr>
            </w:r>
            <w:r>
              <w:rPr>
                <w:b/>
                <w:bCs/>
                <w:color w:val="auto"/>
                <w:szCs w:val="22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Cs w:val="22"/>
              </w:rPr>
              <w:t xml:space="preserve">Сроки исполнения</w:t>
            </w:r>
            <w:r>
              <w:rPr>
                <w:b/>
                <w:bCs/>
                <w:color w:val="auto"/>
                <w:szCs w:val="22"/>
              </w:rPr>
            </w:r>
            <w:r>
              <w:rPr>
                <w:b/>
                <w:bCs/>
                <w:color w:val="auto"/>
                <w:szCs w:val="22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Cs w:val="22"/>
              </w:rPr>
              <w:t xml:space="preserve">Ожидаемый результат</w:t>
            </w:r>
            <w:r>
              <w:rPr>
                <w:b/>
                <w:bCs/>
                <w:color w:val="auto"/>
                <w:szCs w:val="22"/>
              </w:rPr>
            </w:r>
            <w:r>
              <w:rPr>
                <w:b/>
                <w:bCs/>
                <w:color w:val="auto"/>
                <w:szCs w:val="22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Cs w:val="22"/>
              </w:rPr>
              <w:t xml:space="preserve">Ответственные лица</w:t>
            </w:r>
            <w:r>
              <w:rPr>
                <w:b/>
                <w:bCs/>
                <w:color w:val="auto"/>
                <w:szCs w:val="22"/>
              </w:rPr>
            </w:r>
            <w:r>
              <w:rPr>
                <w:b/>
                <w:bCs/>
                <w:color w:val="auto"/>
                <w:szCs w:val="22"/>
              </w:rPr>
            </w:r>
          </w:p>
        </w:tc>
      </w:tr>
      <w:tr>
        <w:tblPrEx/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restart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Информирование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Акт</w:t>
            </w:r>
            <w:r>
              <w:rPr>
                <w:color w:val="auto"/>
                <w:szCs w:val="20"/>
              </w:rPr>
              <w:t xml:space="preserve">уализация и размещение на официальном сайте администрации муниципального образования город Краснодар (далее – Администрация) Перечней правовых актов, содержащих обязательные требования, соблюдение которых оценивается при проведении мероприятий по контролю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 мере принятия или внесения изменений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Предупреждение нарушений обязательных требований законодательства, Повышение уровня правовой грамотности контролируемых лиц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  <w:highlight w:val="none"/>
              </w:rPr>
            </w:pPr>
            <w:r>
              <w:rPr>
                <w:color w:val="auto"/>
                <w:szCs w:val="20"/>
              </w:rPr>
              <w:t xml:space="preserve">Заместитель начальника отдела комплексных проверок, курирующий деятельность специалистов, осуществляющих региональный государственный строительный надзор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60"/>
              <w:rPr>
                <w:color w:val="auto"/>
              </w:rPr>
            </w:pPr>
            <w:r>
              <w:rPr>
                <w:color w:val="auto"/>
                <w:szCs w:val="20"/>
                <w:highlight w:val="none"/>
              </w:rPr>
              <w:t xml:space="preserve">Заместитель начальника отдела информационно-организационного сопровождения Управления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6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Подготовка и размещение разъяснительных материалов, руководств по вопросам соблюдения обязательных требований на официальном сайте Администрации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раз в год, до 01.02.2025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Предупреждение нарушений обязательных требований законодательства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highlight w:val="none"/>
              </w:rPr>
            </w:pPr>
            <w:r>
              <w:rPr>
                <w:color w:val="auto"/>
              </w:rPr>
              <w:t xml:space="preserve">Заместитель начальника отдела комплексных проверок Управления, курирующий деятельность специалистов, осуществляющих региональный государственный строительный надзо</w:t>
            </w:r>
            <w:r>
              <w:t xml:space="preserve">р,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0"/>
            </w:pPr>
            <w:r>
              <w:rPr>
                <w:highlight w:val="none"/>
              </w:rPr>
              <w:t xml:space="preserve">Отдел комплексных проверок Управления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W w:w="6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Информирование контролируемых лиц путем подготовки и размещения на официальном сайте Администрации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информации об изменениях, вносимых в действующие нормативные правовые акты, устанавливающие обязательные требования.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 мере опубликования на официальных сайтах федеральных органов власти в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соответствующей сфере деятельности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Повышение уровня правовой грамотности контролируемых лиц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  <w:highlight w:val="none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</w:rPr>
              <w:t xml:space="preserve">Заместитель начальника отдела комплексных проверок Управления, курирующий деятельность специалистов, осуществляющих региональный государственный строительный надзо</w:t>
            </w:r>
            <w:r>
              <w:t xml:space="preserve">р,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60"/>
              <w:rPr>
                <w:color w:val="auto"/>
              </w:rPr>
            </w:pPr>
            <w:r>
              <w:rPr>
                <w:color w:val="auto"/>
                <w:szCs w:val="20"/>
                <w:highlight w:val="none"/>
              </w:rPr>
              <w:t xml:space="preserve">Заместитель начальника отдела информационно-организационного сопровождения Управления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restart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Обобщение правоприменительной практики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Доклад, содержащий результаты обобщения правоприменител</w:t>
            </w:r>
            <w:r>
              <w:rPr>
                <w:color w:val="auto"/>
                <w:szCs w:val="20"/>
              </w:rPr>
              <w:t xml:space="preserve">ьной практики Управления, за 2024 </w:t>
            </w:r>
            <w:r>
              <w:rPr>
                <w:color w:val="auto"/>
                <w:szCs w:val="20"/>
              </w:rPr>
              <w:t xml:space="preserve">год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Не позднее 15.03.2025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Размещение на официальном сайте Администрации обзора правоприменительной практики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</w:rPr>
              <w:t xml:space="preserve">Заместитель начальника отдела комплексных проверок Управления, курирующий деятельность специалистов, осуществляющих региональный государственный строительный надзо</w:t>
            </w:r>
            <w:r>
              <w:t xml:space="preserve">р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</w:tr>
      <w:tr>
        <w:tblPrEx/>
        <w:trPr/>
        <w:tc>
          <w:tcPr>
            <w:tcW w:w="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Объявление предостережения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Направление юридическим лицам, индивидуальным предпринимателям и физическим лицам предостережений о недопустимости нарушений обязательных требований в подконтрольной сфере.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 мере получения сведений о признаках нарушений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Минимизация возможных рисков нарушений обязательных требований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Отдел комплексных проверок Управления, первый заместитель начальника Управления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</w:tr>
      <w:tr>
        <w:tblPrEx/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restart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Консультирование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Проведение консультирования контролируемых лиц по </w:t>
            </w:r>
            <w:r>
              <w:rPr>
                <w:color w:val="auto"/>
                <w:szCs w:val="20"/>
              </w:rPr>
              <w:t xml:space="preserve">вопросам соблюдения обязательных требований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 мере поступления от граждан </w:t>
            </w:r>
            <w:r>
              <w:rPr>
                <w:color w:val="auto"/>
                <w:szCs w:val="20"/>
              </w:rPr>
              <w:t xml:space="preserve">соответствующих обращений/телефонных звонков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Повышение уровня правовой грамотности </w:t>
            </w:r>
            <w:r>
              <w:rPr>
                <w:color w:val="auto"/>
                <w:szCs w:val="20"/>
              </w:rPr>
              <w:t xml:space="preserve">контролируемых лиц и населения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Отдел комплексных проверок Управления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</w:tr>
      <w:tr>
        <w:tblPrEx/>
        <w:trPr/>
        <w:tc>
          <w:tcPr>
            <w:tcW w:w="6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Проведение приемов, в рамках которых представителям юридических лиц и индивидуальным предпринимателям, а также гражданам разъясняются обязательные требования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 мере необходимости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Повышение уровня правовой грамотности населения в подконтрольной сфере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</w:rPr>
            </w:pPr>
            <w:r>
              <w:rPr>
                <w:color w:val="auto"/>
                <w:szCs w:val="20"/>
              </w:rPr>
              <w:t xml:space="preserve">Начальник отдела информационно-организационного сопровождения Управления, </w:t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</w:rPr>
            </w:pPr>
            <w:r>
              <w:rPr>
                <w:color w:val="auto"/>
                <w:szCs w:val="20"/>
              </w:rPr>
              <w:t xml:space="preserve">начальник Управления, </w:t>
              <w:br/>
              <w:t xml:space="preserve">первый заместитель начальника Управления, </w:t>
              <w:br/>
            </w:r>
            <w:r>
              <w:rPr>
                <w:color w:val="auto"/>
              </w:rPr>
              <w:t xml:space="preserve">Заместитель начальника отдела комплексных проверок Управления, курирующий деятельность специалистов, осуществляющих региональный государственный строительный надзо</w:t>
            </w:r>
            <w:r>
              <w:t xml:space="preserve">р</w:t>
            </w:r>
            <w:r>
              <w:rPr>
                <w:color w:val="auto"/>
                <w:szCs w:val="20"/>
              </w:rPr>
            </w:r>
            <w:r/>
          </w:p>
        </w:tc>
      </w:tr>
      <w:tr>
        <w:tblPrEx/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24" w:type="dxa"/>
            <w:vMerge w:val="restart"/>
            <w:textDirection w:val="lrTb"/>
            <w:noWrap w:val="false"/>
          </w:tcPr>
          <w:p>
            <w:pPr>
              <w:pStyle w:val="86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Cs w:val="20"/>
              </w:rPr>
              <w:t xml:space="preserve">Проведение профилактических визитов</w:t>
            </w:r>
            <w:r>
              <w:rPr>
                <w:color w:val="auto"/>
                <w:sz w:val="22"/>
                <w:szCs w:val="20"/>
              </w:rPr>
            </w:r>
            <w:r>
              <w:rPr>
                <w:color w:val="auto"/>
                <w:sz w:val="22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 мере необходимости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Повышение уровня правовой грамотности и информирование контролируемых лиц 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Отдел комплексных проверок Управления</w:t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  <w:p>
            <w:pPr>
              <w:pStyle w:val="86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  <w:r>
              <w:rPr>
                <w:color w:val="auto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17" w:right="0" w:firstLine="0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1417" w:right="0" w:firstLine="0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shd w:val="nil" w:color="auto"/>
        <w:rPr>
          <w:rFonts w:ascii="PT Astra Serif" w:hAnsi="PT Astra Serif" w:cs="PT Astra Serif"/>
          <w:b w:val="0"/>
          <w:bCs w:val="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0" w:left="822" w:header="709" w:footer="709" w:gutter="0"/>
          <w:cols w:num="1" w:sep="0" w:space="708" w:equalWidth="1"/>
          <w:docGrid w:linePitch="360"/>
        </w:sectPr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Основными механизмами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Для оценки результативности и эффективности Программы устанавливаются следующие количественные показатели: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t xml:space="preserve">Таблица 4.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tbl>
      <w:tblPr>
        <w:tblStyle w:val="710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5811"/>
        <w:gridCol w:w="2835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№ п/п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Плановое значение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1.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Количество выданных предостережений, ед.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Не менее 30 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2.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Количество проведенных консультирований (вне зависимости от способа их осуществления), ед.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Не менее 35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3.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Полнота информа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ции, размещенной на официальном Интернет-портале Администрации и городской Думы Краснодара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100 %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4.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Доля граждан, удовлетворенных консультированием от общего числа граждан, обратившихся за консультированием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t xml:space="preserve">80 %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Расчет эффективности Программы по показателям, приведенным в таблице 4, осуществляется по следующей формуле: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n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= 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f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/И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р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* 100%,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Где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n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– номер показателя в соответствии с таблицей 4,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р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– плановое значение показателя,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auto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f</w:t>
      </w:r>
      <w:r>
        <w:t xml:space="preserve"> –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фактическое значение показателя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Итоговое значение по реализации Программы по показателям, приведенных в таблице 4, (Иi), осуществляется по следующей формуле: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auto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vertAlign w:val="subscript"/>
        </w:rPr>
        <w:t xml:space="preserve">i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=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Σ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  <w:vertAlign w:val="subscript"/>
        </w:rPr>
        <w:t xml:space="preserve">n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/n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 итогам результативности профилактической работы уровень эффективности реализации программы определяется в соответствии с таблицей 5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right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Таблица 5.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right"/>
        <w:spacing w:after="0" w:afterAutospacing="0" w:line="283" w:lineRule="atLeast"/>
        <w:shd w:val="nil" w:color="000000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tbl>
      <w:tblPr>
        <w:tblStyle w:val="710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6706"/>
      </w:tblGrid>
      <w:tr>
        <w:tblPrEx/>
        <w:trPr>
          <w:trHeight w:val="773"/>
        </w:trPr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  <w:t xml:space="preserve">Значение </w:t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  <w:vertAlign w:val="subscript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6706" w:type="dxa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  <w:t xml:space="preserve">Уровень эффективности реализации программы</w:t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100%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W w:w="6706" w:type="dxa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Очень высокий уровень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90% - 100%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W w:w="670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Высокий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70% - 90%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W w:w="670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Средний уровень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40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Меньше 70 %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W w:w="670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shd w:val="nil" w:color="000000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Низкий уровень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after="0" w:afterAutospacing="0" w:line="283" w:lineRule="atLeast"/>
        <w:shd w:val="nil" w:color="000000"/>
        <w:rPr>
          <w:rFonts w:ascii="PT Astra Serif" w:hAnsi="PT Astra Serif" w:cs="PT Astra Serif"/>
          <w:b w:val="0"/>
          <w:bCs w:val="0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1417" w:right="0" w:firstLine="0"/>
        <w:jc w:val="both"/>
        <w:spacing w:after="0" w:afterAutospacing="0" w:line="283" w:lineRule="atLeast"/>
        <w:tabs>
          <w:tab w:val="left" w:pos="992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  <w:i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  <w:i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2024-09-25T07:46:39Z</dcterms:modified>
</cp:coreProperties>
</file>