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67" w:right="566"/>
        <w:jc w:val="center"/>
        <w:widowControl w:val="off"/>
        <w:rPr>
          <w:b/>
          <w:sz w:val="10"/>
          <w:szCs w:val="10"/>
        </w:rPr>
      </w:pPr>
      <w:r>
        <w:rPr>
          <w:b/>
          <w:sz w:val="10"/>
          <w:szCs w:val="10"/>
        </w:rPr>
      </w:r>
      <w:r/>
    </w:p>
    <w:p>
      <w:pPr>
        <w:ind w:left="567" w:right="56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постановление 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город Краснодар  от 17.04.2023                </w:t>
      </w:r>
      <w:r>
        <w:rPr>
          <w:b/>
          <w:sz w:val="28"/>
          <w:szCs w:val="28"/>
        </w:rPr>
        <w:t xml:space="preserve">№ 1602 «Об утверждении административного регламента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лет»</w:t>
      </w:r>
      <w:r/>
    </w:p>
    <w:p>
      <w:pPr>
        <w:jc w:val="center"/>
        <w:tabs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</w:t>
      </w:r>
      <w:r>
        <w:rPr>
          <w:sz w:val="28"/>
          <w:szCs w:val="28"/>
        </w:rPr>
        <w:t xml:space="preserve"> в соответствие с действующим законодательством п о с т а н о в л я ю: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образования город Краснодар от 17.04.2023 № 1602 «Об утверждении административного регламента предоставления администрацией муниципального образования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Краснодар муниципальной услуги «Выдача разрешений на вступление в брак лицам, достигшим возраста шестнадцати лет»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/>
    </w:p>
    <w:p>
      <w:pPr>
        <w:contextualSpacing/>
        <w:ind w:firstLine="709"/>
        <w:jc w:val="both"/>
        <w:spacing w:line="283" w:lineRule="atLeast"/>
        <w:widowControl w:val="off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Пункт 7 </w:t>
      </w:r>
      <w:r>
        <w:rPr>
          <w:sz w:val="28"/>
          <w:szCs w:val="28"/>
        </w:rPr>
        <w:t xml:space="preserve">подраздела II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II</w:t>
      </w:r>
      <w:r>
        <w:rPr>
          <w:sz w:val="28"/>
          <w:szCs w:val="28"/>
        </w:rPr>
        <w:t xml:space="preserve"> раздела II административного регламента предоставления администрацией муниципального образования город Краснодар муниципальной</w:t>
      </w:r>
      <w:r>
        <w:rPr>
          <w:color w:val="000000" w:themeColor="text1"/>
          <w:sz w:val="28"/>
          <w:szCs w:val="28"/>
        </w:rPr>
        <w:t xml:space="preserve"> услуги «</w:t>
      </w:r>
      <w:r>
        <w:rPr>
          <w:color w:val="000000" w:themeColor="text1"/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color w:val="000000" w:themeColor="text1"/>
          <w:sz w:val="28"/>
          <w:szCs w:val="28"/>
        </w:rPr>
        <w:t xml:space="preserve">» (далее – </w:t>
      </w:r>
      <w:r>
        <w:rPr>
          <w:color w:val="000000" w:themeColor="text1"/>
          <w:sz w:val="28"/>
          <w:szCs w:val="28"/>
        </w:rPr>
        <w:t xml:space="preserve">Административный р</w:t>
      </w:r>
      <w:r>
        <w:rPr>
          <w:color w:val="000000" w:themeColor="text1"/>
          <w:sz w:val="28"/>
          <w:szCs w:val="28"/>
        </w:rPr>
        <w:t xml:space="preserve">егламент) изложить в следующей редакции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«7. </w:t>
      </w:r>
      <w:r>
        <w:rPr>
          <w:rFonts w:eastAsia="PT Serif"/>
          <w:color w:val="000000" w:themeColor="text1"/>
          <w:sz w:val="28"/>
          <w:szCs w:val="28"/>
        </w:rPr>
        <w:t xml:space="preserve">Результатом предоставления муниципальной услуги является: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</w:r>
      <w:r>
        <w:rPr>
          <w:rFonts w:eastAsia="PT Serif"/>
          <w:color w:val="000000"/>
          <w:sz w:val="28"/>
          <w:szCs w:val="28"/>
          <w:highlight w:val="white"/>
        </w:rPr>
        <w:t xml:space="preserve">7.1.</w:t>
      </w:r>
      <w:r>
        <w:rPr>
          <w:rFonts w:eastAsia="PT Serif"/>
          <w:color w:val="000000"/>
          <w:sz w:val="28"/>
          <w:szCs w:val="28"/>
          <w:highlight w:val="white"/>
        </w:rPr>
        <w:t xml:space="preserve"> </w:t>
      </w:r>
      <w:r>
        <w:rPr>
          <w:rFonts w:eastAsia="PT Serif"/>
          <w:color w:val="000000"/>
          <w:sz w:val="28"/>
          <w:szCs w:val="28"/>
          <w:highlight w:val="white"/>
        </w:rPr>
        <w:t xml:space="preserve">Для варианта предоставления муниципальной услуги</w:t>
      </w:r>
      <w:r>
        <w:rPr>
          <w:rFonts w:eastAsia="PT Serif"/>
          <w:color w:val="000000"/>
          <w:sz w:val="28"/>
          <w:szCs w:val="28"/>
        </w:rPr>
        <w:t xml:space="preserve"> «</w:t>
      </w:r>
      <w:r>
        <w:rPr>
          <w:rFonts w:eastAsia="PT Serif"/>
          <w:color w:val="000000"/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rFonts w:eastAsia="PT Serif"/>
          <w:color w:val="000000"/>
          <w:sz w:val="28"/>
          <w:szCs w:val="28"/>
        </w:rPr>
        <w:t xml:space="preserve">»: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разрешение на вступление в брак лицам, достигшим возраста шестнадцати лет, но не достигшим совершеннолетия;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 в предоставлении муниципальной услуги.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rFonts w:eastAsia="PT Serif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7.2.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Для вари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rFonts w:eastAsia="PT Serif"/>
          <w:color w:val="000000" w:themeColor="text1"/>
          <w:sz w:val="28"/>
          <w:szCs w:val="28"/>
          <w:highlight w:val="none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документ, выданный по результату ранее предоставленной муниципальной услуги, без опечаток и ошибок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предоставлении муниципальной услуги.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widowControl w:val="off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7.3. Для варианта предоставления муниципальной услуги «Выдача дубликата документа, выданного по результату ранее предоставленной муниципальной услуги»:</w:t>
      </w:r>
      <w:r/>
    </w:p>
    <w:p>
      <w:pPr>
        <w:ind w:left="0" w:right="0" w:firstLine="709"/>
        <w:jc w:val="both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дубликат документа, выданного по результату ранее предоставленной муниципальной услуг</w:t>
      </w:r>
      <w:r>
        <w:rPr>
          <w:color w:val="000000" w:themeColor="text1"/>
          <w:sz w:val="28"/>
          <w:szCs w:val="28"/>
        </w:rPr>
        <w:t xml:space="preserve">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предоставлении муниципальной услуги.».</w:t>
      </w:r>
      <w:r>
        <w:rPr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Пункт 9</w:t>
      </w:r>
      <w:r>
        <w:rPr>
          <w:sz w:val="28"/>
          <w:szCs w:val="28"/>
        </w:rPr>
        <w:t xml:space="preserve"> подраздела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9. Срок предоставления муниципальной услуги для варианта предоставления муниципальной 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 должен превышать          15 дней со дня получения заявления и прилагаемых к нему документов.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Срок предоставления муниципальной услуги для варианта предоставления муниципальной услуги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sz w:val="28"/>
          <w:szCs w:val="28"/>
        </w:rPr>
        <w:t xml:space="preserve"> 5 рабочих дней.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Срок предоставления муниципальной услуги для варианта предо-ставления муниципальной услуги «Выдача дубликата документа, выданного по результату ранее предоставленной муниципальной услуги» – 5 рабочих дней.».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1.3. П</w:t>
      </w:r>
      <w:r>
        <w:rPr>
          <w:sz w:val="28"/>
          <w:szCs w:val="28"/>
        </w:rPr>
        <w:t xml:space="preserve">одп</w:t>
      </w:r>
      <w:r>
        <w:rPr>
          <w:sz w:val="28"/>
          <w:szCs w:val="28"/>
        </w:rPr>
        <w:t xml:space="preserve">ункт 13.2</w:t>
      </w:r>
      <w:r>
        <w:rPr>
          <w:sz w:val="28"/>
          <w:szCs w:val="28"/>
        </w:rPr>
        <w:t xml:space="preserve"> пункта 13</w:t>
      </w:r>
      <w:r>
        <w:rPr>
          <w:sz w:val="28"/>
          <w:szCs w:val="28"/>
        </w:rPr>
        <w:t xml:space="preserve"> подраздела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дополнить подпунктом 3) следующего содержания: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3) копи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документа, удостоверяющего личность заявителя (представителя заявителя), и документа, подтверждающего полномочия представителя заявителя (в случае обращения представителя).».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Пункт 13 п</w:t>
      </w:r>
      <w:r>
        <w:rPr>
          <w:sz w:val="28"/>
          <w:szCs w:val="28"/>
        </w:rPr>
        <w:t xml:space="preserve">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дополнить подпунктом 13.3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eastAsia="ru-RU"/>
        </w:rPr>
        <w:t xml:space="preserve">«13.3. Для варианта предоставления муниципальной услуги </w:t>
      </w:r>
      <w:r>
        <w:rPr>
          <w:color w:val="000000" w:themeColor="text1"/>
          <w:sz w:val="28"/>
          <w:szCs w:val="28"/>
        </w:rPr>
        <w:t xml:space="preserve">«Выдача дубликата документа, выданного по результату ранее предоставленной муниципальной услуги»: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копии документа, удостоверяющего личность заявителя (представителя заявителя), и документа, подтверждающего полномочия представителя заявителя (в случае обращения представителя).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Пункт 18 </w:t>
      </w:r>
      <w:r>
        <w:rPr>
          <w:sz w:val="28"/>
          <w:szCs w:val="28"/>
        </w:rPr>
        <w:t xml:space="preserve">подраздела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«</w:t>
      </w:r>
      <w:r>
        <w:rPr>
          <w:rFonts w:eastAsia="PT Serif"/>
          <w:color w:val="000000"/>
          <w:sz w:val="28"/>
          <w:szCs w:val="28"/>
        </w:rPr>
        <w:t xml:space="preserve">18. Основаниями для отказа в предоставлении муниципальной услуги являются:</w:t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18.1. Для варианта предоставления муниципальной услуги «</w:t>
      </w:r>
      <w:r>
        <w:rPr>
          <w:color w:val="000000"/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rFonts w:eastAsia="PT Serif"/>
          <w:color w:val="000000"/>
          <w:sz w:val="28"/>
          <w:szCs w:val="28"/>
        </w:rPr>
        <w:t xml:space="preserve">»:</w:t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отсутствие одного или нескольких документов, необходимых для получения муниципальной услуги, наличие которых предусмотрено подпунктом 13.1 пункта 13 подраздела II.VI раздела II настоящего Административного регламента;</w:t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отсутствие уважительной причины для вступления в брак</w:t>
      </w:r>
      <w:r>
        <w:rPr>
          <w:rFonts w:eastAsia="PT Serif"/>
          <w:color w:val="000000"/>
          <w:sz w:val="28"/>
          <w:szCs w:val="28"/>
        </w:rPr>
        <w:t xml:space="preserve">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отсутствие у заявителя права (полномочий представителя заявителя) на получение муниципальной услуги;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органом, указанным в подразделе II.II раздела II настоящего Административного регламента;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обращение (в письменном виде) заявителя (представителя заявителя) с просьбой о прекращении предоставления муниципальной услуги.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18.2.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  <w:r>
        <w:rPr>
          <w:rFonts w:eastAsia="PT Serif"/>
          <w:color w:val="000000"/>
          <w:sz w:val="28"/>
          <w:szCs w:val="28"/>
        </w:rPr>
        <w:t xml:space="preserve">: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отсутствие допущенных опечаток и ошибок в выданных в результате предоставления муниципальной услуги документах</w:t>
      </w:r>
      <w:r>
        <w:rPr>
          <w:rFonts w:eastAsia="PT Serif"/>
          <w:color w:val="000000"/>
          <w:sz w:val="28"/>
          <w:szCs w:val="28"/>
        </w:rPr>
        <w:t xml:space="preserve">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/>
          <w:sz w:val="28"/>
          <w:szCs w:val="28"/>
        </w:rPr>
        <w:t xml:space="preserve">отсутствие у заявителя права (полномочий представителя заявителя) на</w:t>
      </w:r>
      <w:r>
        <w:rPr>
          <w:rFonts w:eastAsia="PT Serif"/>
          <w:color w:val="000000"/>
          <w:sz w:val="28"/>
          <w:szCs w:val="28"/>
        </w:rPr>
        <w:t xml:space="preserve"> получение муниципальной услуги;</w:t>
      </w:r>
      <w:r>
        <w:rPr>
          <w:rFonts w:eastAsia="PT Serif"/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органом, указанным в подразделе II.II раздела II настоящего Административного регламента;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обращение (в письменном виде) заявителя (представителя заявителя) с просьбой о прекращении предоставления муниципальной услуги.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18.3. Для варианта предоставления муниципальной услуги «Выдача дубликата документа, выданного по результату ранее предос</w:t>
      </w:r>
      <w:r>
        <w:rPr>
          <w:color w:val="000000"/>
          <w:sz w:val="28"/>
          <w:szCs w:val="28"/>
        </w:rPr>
        <w:t xml:space="preserve">тавленной муниципальной услуги»: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отсутствие факта обращения заявителя за получением муниципальной услуги, по результатам которой выдан соответствующий документ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отсутствие у заявителя права (полномочий представителя заявителя) на получение муниципальной услуги;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органом, указанным в подразделе II.II раздела II настоящего Административного регламента;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rFonts w:eastAsia="PT Serif"/>
          <w:color w:val="000000"/>
        </w:rPr>
      </w:pPr>
      <w:r>
        <w:rPr>
          <w:color w:val="000000"/>
          <w:sz w:val="28"/>
          <w:szCs w:val="28"/>
        </w:rPr>
        <w:t xml:space="preserve">обращение (в письменном виде) заявителя (представителя заявителя) с просьбой о прекращении предоставления муниципальной услуги.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1.6. Пункт 19 п</w:t>
      </w:r>
      <w:r>
        <w:rPr>
          <w:sz w:val="28"/>
          <w:szCs w:val="28"/>
        </w:rPr>
        <w:t xml:space="preserve">одраздел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дополнить абзацем третьим следующего содержания</w:t>
      </w:r>
      <w:r>
        <w:rPr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Заявитель вправе отозвать своё заявление на любой стадии рассмотрения документов, обратившись с соответствующим заявлением в МФЦ или уполномоченный орган.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1.7. </w:t>
      </w:r>
      <w:r>
        <w:rPr>
          <w:color w:val="000000" w:themeColor="text1"/>
          <w:sz w:val="28"/>
          <w:szCs w:val="28"/>
          <w:highlight w:val="none"/>
        </w:rPr>
        <w:t xml:space="preserve">Пункт 36 п</w:t>
      </w:r>
      <w:r>
        <w:rPr>
          <w:sz w:val="28"/>
          <w:szCs w:val="28"/>
        </w:rPr>
        <w:t xml:space="preserve">одраздел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XIV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дополнить абзацем вторым следующего содержания</w:t>
      </w:r>
      <w:r>
        <w:rPr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«Предоставление </w:t>
      </w:r>
      <w:r>
        <w:rPr>
          <w:color w:val="000000" w:themeColor="text1"/>
          <w:sz w:val="28"/>
          <w:szCs w:val="28"/>
        </w:rPr>
        <w:t xml:space="preserve">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упреждающем (проактивном) режиме не осуществляется.».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1.8.</w:t>
      </w:r>
      <w:r>
        <w:rPr>
          <w:color w:val="000000" w:themeColor="text1"/>
          <w:sz w:val="28"/>
          <w:szCs w:val="28"/>
        </w:rPr>
        <w:t xml:space="preserve"> Пункт 40</w:t>
      </w:r>
      <w:r>
        <w:rPr>
          <w:color w:val="000000" w:themeColor="text1"/>
          <w:sz w:val="28"/>
          <w:szCs w:val="28"/>
        </w:rPr>
        <w:t xml:space="preserve"> подраздела 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</w:rPr>
        <w:t xml:space="preserve"> Административного регламента дополнить подпунктом 3) следующего содержания</w:t>
      </w:r>
      <w:r>
        <w:rPr>
          <w:color w:val="000000" w:themeColor="text1"/>
          <w:sz w:val="28"/>
          <w:szCs w:val="28"/>
        </w:rPr>
        <w:t xml:space="preserve">:</w:t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3) выдача дубликата документа, выданного по результату ранее предоставленной муниципальной услуги.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shd w:val="clear" w:color="ffffff" w:fill="ffffff"/>
        <w:rPr>
          <w:rFonts w:eastAsia="PT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1.9. </w:t>
      </w:r>
      <w:r>
        <w:rPr>
          <w:rFonts w:eastAsia="PT Serif"/>
          <w:b w:val="0"/>
          <w:bCs w:val="0"/>
          <w:color w:val="000000" w:themeColor="text1"/>
          <w:sz w:val="28"/>
          <w:szCs w:val="28"/>
        </w:rPr>
        <w:t xml:space="preserve">Наименование подраздела III.III. Описание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  <w:r>
        <w:rPr>
          <w:rFonts w:eastAsia="PT Serif"/>
          <w:b w:val="0"/>
          <w:bCs w:val="0"/>
          <w:color w:val="000000" w:themeColor="text1"/>
          <w:sz w:val="28"/>
          <w:szCs w:val="28"/>
          <w:highlight w:val="none"/>
        </w:rPr>
        <w:t xml:space="preserve"> изложить в следующей редакции: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«Подраздел III.IV. Описание варианта предоставления муници-пальной услуги «Исправление допущенных опечаток и ошибок в выданных в результате предоставления муниципальной услуги документах»</w:t>
      </w:r>
      <w:r>
        <w:rPr>
          <w:rFonts w:eastAsia="PT Serif"/>
          <w:b/>
          <w:bCs/>
          <w:color w:val="000000" w:themeColor="text1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1.10. Раздел 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  <w:lang w:val="en-US"/>
        </w:rPr>
        <w:t xml:space="preserve">I</w:t>
      </w:r>
      <w:r>
        <w:rPr>
          <w:color w:val="000000" w:themeColor="text1"/>
          <w:sz w:val="28"/>
          <w:szCs w:val="28"/>
        </w:rPr>
        <w:t xml:space="preserve"> Административного регламента дополнить           подразделом III.V следующего содержания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79"/>
        <w:ind w:firstLine="709"/>
        <w:jc w:val="both"/>
        <w:shd w:val="clear" w:color="auto" w:fill="ffffff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Описание варианта предоставления муниципальной услуги «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Выдача дубликата документа, выданного по результату ранее предоставленной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</w:r>
      <w:r/>
    </w:p>
    <w:p>
      <w:pPr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54.1. Максимальный срок предоставления муниципальной услуги в соответствии с вариантом предоставления муниципальной услуги «Выдача дубликата документа, выданного по результату ранее предоставленной муниципальной услуги» составляет 5 рабочих дней.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Результатом предоставления муниципальной услуги в соответствии с вариантом предоставления муниципальной услуги «Выдача дубликата </w:t>
      </w:r>
      <w:r>
        <w:rPr>
          <w:color w:val="000000" w:themeColor="text1"/>
          <w:sz w:val="28"/>
          <w:szCs w:val="28"/>
        </w:rPr>
        <w:t xml:space="preserve">документа, выданного по результату ранее предоставленной муниципальной услуги» является выдача дубликата документа, выданного по результату ранее предоставленной муниципальной услуги.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процессе предоставления муниципальной услуги в соответствии с вариантом предоставления муниципальной услуги «Выдача дубликата документа, выданного по результату ранее предоставленной муниципальной услуги» выполняются следующие административные процедуры: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обращение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услуги;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подготовка дубликата документа, выданного по результату ранее предоставленной муниципальной услуги;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выдача дубликата документа, выданного по результату ранее предоставленной муниципальной услуги.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Описание </w:t>
      </w:r>
      <w:r>
        <w:rPr>
          <w:color w:val="000000" w:themeColor="text1"/>
          <w:sz w:val="28"/>
          <w:szCs w:val="28"/>
        </w:rPr>
        <w:t xml:space="preserve">административной процедуры обращения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случае утраты документа, выданного по результату ранее предоставленной муницип</w:t>
      </w:r>
      <w:r>
        <w:rPr>
          <w:color w:val="000000" w:themeColor="text1"/>
          <w:sz w:val="28"/>
          <w:szCs w:val="28"/>
        </w:rPr>
        <w:t xml:space="preserve">альн</w:t>
      </w:r>
      <w:r>
        <w:rPr>
          <w:color w:val="000000" w:themeColor="text1"/>
          <w:sz w:val="28"/>
          <w:szCs w:val="28"/>
        </w:rPr>
        <w:t xml:space="preserve">ой услуги, либо необходимости получения документа, выданного по результату ранее предоставленной муниципальной услуги, взамен пришедшего в негодность, заявитель вправе обратиться в уполномоченный орган способами, предусмотренными пунктом 30     подраздела </w:t>
      </w: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XIV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 настоящего Административного регламента, с </w:t>
      </w:r>
      <w:hyperlink r:id="rId10" w:tooltip="consultantplus://offline/ref=F6E0818AD70AAA66E18CD0383046322B7F70DE17D0CBCBF2DD92331B4DB50E58DAECF86B51A54B252CA9A88D6D237F4F24E860B108473D331CBD6C496Fn0M" w:history="1">
        <w:r>
          <w:rPr>
            <w:color w:val="000000" w:themeColor="text1"/>
            <w:sz w:val="28"/>
            <w:szCs w:val="28"/>
          </w:rPr>
          <w:t xml:space="preserve">заявлением</w:t>
        </w:r>
      </w:hyperlink>
      <w:r>
        <w:rPr>
          <w:color w:val="000000" w:themeColor="text1"/>
          <w:sz w:val="28"/>
          <w:szCs w:val="28"/>
        </w:rPr>
        <w:t xml:space="preserve"> в свободной форме с обоснованием необходимости выдачи дубликата документа, выданного п</w:t>
      </w:r>
      <w:r>
        <w:rPr>
          <w:color w:val="000000" w:themeColor="text1"/>
          <w:sz w:val="28"/>
          <w:szCs w:val="28"/>
        </w:rPr>
        <w:t xml:space="preserve">о результату ранее предоставленной муниципальной услуги, а также указанием вида, даты, номера выдачи (регистрации) документа, выданного в результате ранее предоставленной муниципальной услуги (при наличии такой информации), и документами, предусмотренными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подпунктом 13.3 пункта 13</w:t>
      </w:r>
      <w:r>
        <w:rPr>
          <w:color w:val="000000" w:themeColor="text1"/>
          <w:sz w:val="28"/>
          <w:szCs w:val="28"/>
        </w:rPr>
        <w:t xml:space="preserve"> подраздела </w:t>
      </w: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VI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Описание административной процедуры подготовки дубликата документа, выданного по результату ранее предоставленной муниципальной услуги.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Работник уполномоченного органа, ответственный за </w:t>
      </w:r>
      <w:r>
        <w:rPr>
          <w:color w:val="000000" w:themeColor="text1"/>
          <w:sz w:val="28"/>
          <w:szCs w:val="28"/>
        </w:rPr>
        <w:t xml:space="preserve">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Критерием принятия решения является наличие или отсутствие документа, выданного по результату ранее предоставленной муниципальной услуги.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случае установления наличия оснований для отказа в предоставлении муниципальной услуги для варианта предоставления муниципальной услуги «</w:t>
      </w:r>
      <w:r>
        <w:rPr>
          <w:bCs/>
          <w:color w:val="000000" w:themeColor="text1"/>
          <w:sz w:val="28"/>
          <w:szCs w:val="28"/>
        </w:rPr>
        <w:t xml:space="preserve">Выдача дубликата документа, выданного по результату ранее </w:t>
      </w:r>
      <w:r>
        <w:rPr>
          <w:bCs/>
          <w:color w:val="000000" w:themeColor="text1"/>
          <w:sz w:val="28"/>
          <w:szCs w:val="28"/>
        </w:rPr>
        <w:t xml:space="preserve">предоставленной муниципальной услуги»</w:t>
      </w:r>
      <w:r>
        <w:rPr>
          <w:color w:val="000000" w:themeColor="text1"/>
          <w:sz w:val="28"/>
          <w:szCs w:val="28"/>
        </w:rPr>
        <w:t xml:space="preserve"> работник уполномоченного органа подготавливает мотивированный ответ об отсутствии возможности выдачи дубликата документа, выданного по результату ранее предоставленной муниципальной услуги.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Данный мотивированный ответ подписывается руководителем уполномоченного органа, подлежит регистрации в установленном порядке в течение двух рабочих дней и выдаче заявителю (представителю заявителя).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муниципальной услуги для варианта предоставления муниципальной услуги «</w:t>
      </w:r>
      <w:r>
        <w:rPr>
          <w:bCs/>
          <w:color w:val="000000" w:themeColor="text1"/>
          <w:sz w:val="28"/>
          <w:szCs w:val="28"/>
        </w:rPr>
        <w:t xml:space="preserve">Выдача дубликата документа, выданного по результату ранее предоставленной муниципальной услуги» </w:t>
      </w:r>
      <w:r>
        <w:rPr>
          <w:color w:val="000000" w:themeColor="text1"/>
          <w:sz w:val="28"/>
          <w:szCs w:val="28"/>
        </w:rPr>
        <w:t xml:space="preserve">работник уполномоченного органа подготавливает дубликат документа, выданного по результату ранее предоставленной муниципальной услуги, в строгом соответствии с экземпляром такого документа, находящегося в архиве уполномоченного органа.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  <w:r>
        <w:rPr>
          <w:color w:val="000000" w:themeColor="text1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По результатам подготовки дубликата </w:t>
      </w:r>
      <w:r>
        <w:rPr>
          <w:bCs/>
          <w:color w:val="000000" w:themeColor="text1"/>
          <w:sz w:val="28"/>
          <w:szCs w:val="28"/>
        </w:rPr>
        <w:t xml:space="preserve">документа, выданного по результату ранее предоставленной муниципальной услуги</w:t>
      </w:r>
      <w:r>
        <w:rPr>
          <w:color w:val="000000" w:themeColor="text1"/>
          <w:sz w:val="28"/>
          <w:szCs w:val="28"/>
        </w:rPr>
        <w:t xml:space="preserve">, заявителю выдаётся соответствующий дубликат.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1.11. </w:t>
      </w:r>
      <w:r>
        <w:rPr>
          <w:color w:val="000000"/>
          <w:sz w:val="28"/>
          <w:szCs w:val="28"/>
        </w:rPr>
        <w:t xml:space="preserve">Приложение № 5 </w:t>
      </w:r>
      <w:r>
        <w:rPr>
          <w:color w:val="000000"/>
          <w:sz w:val="28"/>
          <w:szCs w:val="28"/>
        </w:rPr>
        <w:t xml:space="preserve">к Административному регламенту </w:t>
      </w:r>
      <w:r>
        <w:rPr>
          <w:color w:val="000000"/>
          <w:sz w:val="28"/>
          <w:szCs w:val="28"/>
        </w:rPr>
        <w:t xml:space="preserve">изложить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bookmarkStart w:id="0" w:name="undefined"/>
      <w:r/>
      <w:bookmarkEnd w:id="0"/>
      <w:r>
        <w:rPr>
          <w:color w:val="000000"/>
          <w:sz w:val="28"/>
          <w:szCs w:val="28"/>
        </w:rPr>
        <w:t xml:space="preserve">редакции</w:t>
      </w:r>
      <w:r>
        <w:rPr>
          <w:color w:val="000000"/>
          <w:sz w:val="28"/>
          <w:szCs w:val="28"/>
        </w:rPr>
        <w:t xml:space="preserve"> согласно приложению.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информационной политики</w:t>
      </w:r>
      <w:r>
        <w:rPr>
          <w:sz w:val="28"/>
          <w:szCs w:val="28"/>
        </w:rPr>
        <w:t xml:space="preserve"> администрации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образования город Краснодар (</w:t>
      </w:r>
      <w:r>
        <w:rPr>
          <w:sz w:val="28"/>
          <w:szCs w:val="28"/>
        </w:rPr>
        <w:t xml:space="preserve">Лаврентьев</w:t>
      </w:r>
      <w:r>
        <w:rPr>
          <w:sz w:val="28"/>
          <w:szCs w:val="28"/>
        </w:rPr>
        <w:t xml:space="preserve">) опубликовать официально настоящее постановление в установленном порядке.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местителя главы муниципального образования город Краснодар Л.Н.Егорову.</w:t>
      </w:r>
      <w:r/>
    </w:p>
    <w:p>
      <w:pPr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851"/>
        <w:jc w:val="both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widowControl w:val="off"/>
      </w:pPr>
      <w:r>
        <w:rPr>
          <w:color w:val="000000" w:themeColor="text1"/>
          <w:sz w:val="28"/>
          <w:szCs w:val="28"/>
        </w:rPr>
        <w:t xml:space="preserve">Глава муниципального</w:t>
      </w:r>
      <w:r>
        <w:rPr>
          <w:color w:val="000000" w:themeColor="text1"/>
          <w:sz w:val="28"/>
          <w:szCs w:val="28"/>
        </w:rPr>
      </w:r>
      <w:r/>
    </w:p>
    <w:p>
      <w:pPr>
        <w:jc w:val="both"/>
        <w:widowControl w:val="off"/>
        <w:tabs>
          <w:tab w:val="left" w:pos="3093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образования город Краснодар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Е.М.Наумов</w:t>
      </w:r>
      <w:r>
        <w:rPr>
          <w:color w:val="000000" w:themeColor="text1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ylfaen">
    <w:panose1 w:val="020B0502040504020204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/>
  </w:p>
  <w:p>
    <w:pPr>
      <w:pStyle w:val="8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0" w:hanging="7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0" w:hanging="7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42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1"/>
    <w:next w:val="841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3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3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3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3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3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1"/>
    <w:next w:val="841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3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1"/>
    <w:next w:val="841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3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1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1"/>
    <w:next w:val="841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3"/>
    <w:link w:val="689"/>
    <w:uiPriority w:val="10"/>
    <w:rPr>
      <w:sz w:val="48"/>
      <w:szCs w:val="48"/>
    </w:rPr>
  </w:style>
  <w:style w:type="paragraph" w:styleId="691">
    <w:name w:val="Subtitle"/>
    <w:basedOn w:val="841"/>
    <w:next w:val="841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3"/>
    <w:link w:val="691"/>
    <w:uiPriority w:val="11"/>
    <w:rPr>
      <w:sz w:val="24"/>
      <w:szCs w:val="24"/>
    </w:rPr>
  </w:style>
  <w:style w:type="paragraph" w:styleId="693">
    <w:name w:val="Quote"/>
    <w:basedOn w:val="841"/>
    <w:next w:val="841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1"/>
    <w:next w:val="841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3"/>
    <w:link w:val="846"/>
    <w:uiPriority w:val="99"/>
  </w:style>
  <w:style w:type="character" w:styleId="698">
    <w:name w:val="Footer Char"/>
    <w:basedOn w:val="843"/>
    <w:link w:val="853"/>
    <w:uiPriority w:val="99"/>
  </w:style>
  <w:style w:type="paragraph" w:styleId="699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3"/>
    <w:uiPriority w:val="99"/>
  </w:style>
  <w:style w:type="table" w:styleId="701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Footnote Text Char"/>
    <w:link w:val="875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rPr>
      <w:sz w:val="24"/>
      <w:szCs w:val="24"/>
    </w:rPr>
  </w:style>
  <w:style w:type="paragraph" w:styleId="842">
    <w:name w:val="Heading 1"/>
    <w:basedOn w:val="841"/>
    <w:next w:val="841"/>
    <w:qFormat/>
    <w:pPr>
      <w:keepNext/>
      <w:outlineLvl w:val="0"/>
    </w:pPr>
    <w:rPr>
      <w:sz w:val="28"/>
      <w:szCs w:val="20"/>
    </w:rPr>
  </w:style>
  <w:style w:type="character" w:styleId="843" w:default="1">
    <w:name w:val="Default Paragraph Font"/>
    <w:semiHidden/>
  </w:style>
  <w:style w:type="table" w:styleId="84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semiHidden/>
  </w:style>
  <w:style w:type="paragraph" w:styleId="846">
    <w:name w:val="Header"/>
    <w:basedOn w:val="841"/>
    <w:link w:val="878"/>
    <w:uiPriority w:val="99"/>
    <w:pPr>
      <w:tabs>
        <w:tab w:val="center" w:pos="4677" w:leader="none"/>
        <w:tab w:val="right" w:pos="9355" w:leader="none"/>
      </w:tabs>
    </w:pPr>
  </w:style>
  <w:style w:type="character" w:styleId="847">
    <w:name w:val="page number"/>
    <w:basedOn w:val="843"/>
  </w:style>
  <w:style w:type="paragraph" w:styleId="848">
    <w:name w:val="Balloon Text"/>
    <w:basedOn w:val="841"/>
    <w:link w:val="869"/>
    <w:rPr>
      <w:rFonts w:ascii="Tahoma" w:hAnsi="Tahoma" w:cs="Tahoma"/>
      <w:sz w:val="16"/>
      <w:szCs w:val="16"/>
    </w:rPr>
  </w:style>
  <w:style w:type="paragraph" w:styleId="849">
    <w:name w:val="Body Text"/>
    <w:basedOn w:val="841"/>
    <w:pPr>
      <w:jc w:val="both"/>
    </w:pPr>
    <w:rPr>
      <w:sz w:val="28"/>
      <w:szCs w:val="20"/>
    </w:rPr>
  </w:style>
  <w:style w:type="paragraph" w:styleId="850">
    <w:name w:val="Body Text Indent"/>
    <w:basedOn w:val="841"/>
    <w:pPr>
      <w:ind w:left="283"/>
      <w:spacing w:after="120"/>
    </w:pPr>
  </w:style>
  <w:style w:type="table" w:styleId="851">
    <w:name w:val="Table Grid"/>
    <w:basedOn w:val="84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 w:customStyle="1">
    <w:name w:val="Таблицы (моноширинный)"/>
    <w:basedOn w:val="841"/>
    <w:next w:val="841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styleId="853">
    <w:name w:val="Footer"/>
    <w:basedOn w:val="841"/>
    <w:link w:val="854"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link w:val="853"/>
    <w:rPr>
      <w:sz w:val="24"/>
      <w:szCs w:val="24"/>
    </w:rPr>
  </w:style>
  <w:style w:type="paragraph" w:styleId="855" w:customStyle="1">
    <w:name w:val="ConsPlusNormal"/>
    <w:rPr>
      <w:sz w:val="28"/>
      <w:szCs w:val="28"/>
    </w:rPr>
  </w:style>
  <w:style w:type="paragraph" w:styleId="85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57" w:customStyle="1">
    <w:name w:val="Прижатый влево"/>
    <w:basedOn w:val="841"/>
    <w:next w:val="841"/>
    <w:uiPriority w:val="99"/>
    <w:pPr>
      <w:widowControl w:val="off"/>
    </w:pPr>
    <w:rPr>
      <w:rFonts w:ascii="Arial" w:hAnsi="Arial" w:cs="Arial"/>
    </w:rPr>
  </w:style>
  <w:style w:type="character" w:styleId="858" w:customStyle="1">
    <w:name w:val="Основной текст + Sylfaen"/>
    <w:rPr>
      <w:rFonts w:ascii="Sylfaen" w:hAnsi="Sylfaen" w:cs="Sylfaen"/>
      <w:b/>
      <w:bCs/>
      <w:spacing w:val="0"/>
      <w:sz w:val="28"/>
      <w:szCs w:val="28"/>
    </w:rPr>
  </w:style>
  <w:style w:type="character" w:styleId="859" w:customStyle="1">
    <w:name w:val="Заголовок №1_"/>
    <w:link w:val="865"/>
    <w:rPr>
      <w:b/>
      <w:bCs/>
      <w:spacing w:val="60"/>
      <w:sz w:val="35"/>
      <w:szCs w:val="35"/>
      <w:shd w:val="clear" w:color="auto" w:fill="ffffff"/>
    </w:rPr>
  </w:style>
  <w:style w:type="character" w:styleId="860" w:customStyle="1">
    <w:name w:val="Заголовок №1 + Sylfaen"/>
    <w:rPr>
      <w:rFonts w:ascii="Sylfaen" w:hAnsi="Sylfaen" w:cs="Sylfaen"/>
      <w:b/>
      <w:bCs/>
      <w:spacing w:val="50"/>
      <w:sz w:val="35"/>
      <w:szCs w:val="35"/>
    </w:rPr>
  </w:style>
  <w:style w:type="character" w:styleId="861" w:customStyle="1">
    <w:name w:val="Основной текст (3)_"/>
    <w:link w:val="866"/>
    <w:rPr>
      <w:shd w:val="clear" w:color="auto" w:fill="ffffff"/>
    </w:rPr>
  </w:style>
  <w:style w:type="character" w:styleId="862" w:customStyle="1">
    <w:name w:val="Основной текст (3) + Sylfaen"/>
    <w:rPr>
      <w:rFonts w:ascii="Sylfaen" w:hAnsi="Sylfaen" w:cs="Sylfaen"/>
      <w:sz w:val="20"/>
      <w:szCs w:val="20"/>
    </w:rPr>
  </w:style>
  <w:style w:type="character" w:styleId="863" w:customStyle="1">
    <w:name w:val="Основной текст (2)_"/>
    <w:link w:val="867"/>
    <w:rPr>
      <w:sz w:val="27"/>
      <w:szCs w:val="27"/>
      <w:shd w:val="clear" w:color="auto" w:fill="ffffff"/>
    </w:rPr>
  </w:style>
  <w:style w:type="character" w:styleId="864" w:customStyle="1">
    <w:name w:val="Основной текст (2) + Sylfaen"/>
    <w:rPr>
      <w:rFonts w:ascii="Sylfaen" w:hAnsi="Sylfaen" w:cs="Sylfaen"/>
      <w:spacing w:val="0"/>
      <w:sz w:val="27"/>
      <w:szCs w:val="27"/>
    </w:rPr>
  </w:style>
  <w:style w:type="paragraph" w:styleId="865" w:customStyle="1">
    <w:name w:val="Заголовок №1"/>
    <w:basedOn w:val="841"/>
    <w:link w:val="859"/>
    <w:pPr>
      <w:jc w:val="center"/>
      <w:spacing w:before="240" w:after="780" w:line="240" w:lineRule="atLeast"/>
      <w:shd w:val="clear" w:color="auto" w:fill="ffffff"/>
      <w:outlineLvl w:val="0"/>
    </w:pPr>
    <w:rPr>
      <w:b/>
      <w:bCs/>
      <w:spacing w:val="60"/>
      <w:sz w:val="35"/>
      <w:szCs w:val="35"/>
    </w:rPr>
  </w:style>
  <w:style w:type="paragraph" w:styleId="866" w:customStyle="1">
    <w:name w:val="Основной текст (3)"/>
    <w:basedOn w:val="841"/>
    <w:link w:val="861"/>
    <w:pPr>
      <w:spacing w:before="300" w:after="180" w:line="240" w:lineRule="atLeast"/>
      <w:shd w:val="clear" w:color="auto" w:fill="ffffff"/>
    </w:pPr>
    <w:rPr>
      <w:sz w:val="20"/>
      <w:szCs w:val="20"/>
    </w:rPr>
  </w:style>
  <w:style w:type="paragraph" w:styleId="867" w:customStyle="1">
    <w:name w:val="Основной текст (2)"/>
    <w:basedOn w:val="841"/>
    <w:link w:val="863"/>
    <w:pPr>
      <w:jc w:val="center"/>
      <w:spacing w:before="780" w:line="240" w:lineRule="atLeast"/>
      <w:shd w:val="clear" w:color="auto" w:fill="ffffff"/>
    </w:pPr>
    <w:rPr>
      <w:sz w:val="27"/>
      <w:szCs w:val="27"/>
    </w:rPr>
  </w:style>
  <w:style w:type="numbering" w:styleId="868" w:customStyle="1">
    <w:name w:val="Нет списка1"/>
    <w:next w:val="845"/>
    <w:semiHidden/>
  </w:style>
  <w:style w:type="character" w:styleId="869" w:customStyle="1">
    <w:name w:val="Текст выноски Знак"/>
    <w:link w:val="848"/>
    <w:rPr>
      <w:rFonts w:ascii="Tahoma" w:hAnsi="Tahoma" w:cs="Tahoma"/>
      <w:sz w:val="16"/>
      <w:szCs w:val="16"/>
    </w:rPr>
  </w:style>
  <w:style w:type="paragraph" w:styleId="870" w:customStyle="1">
    <w:name w:val=" Знак Знак2"/>
    <w:basedOn w:val="8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1" w:customStyle="1">
    <w:name w:val="ConsTitle"/>
    <w:pPr>
      <w:widowControl w:val="off"/>
    </w:pPr>
    <w:rPr>
      <w:rFonts w:ascii="Arial" w:hAnsi="Arial"/>
      <w:b/>
      <w:sz w:val="16"/>
    </w:rPr>
  </w:style>
  <w:style w:type="character" w:styleId="872" w:customStyle="1">
    <w:name w:val="Гипертекстовая ссылка"/>
    <w:rPr>
      <w:color w:val="106bbe"/>
    </w:rPr>
  </w:style>
  <w:style w:type="paragraph" w:styleId="873" w:customStyle="1">
    <w:name w:val="Знак"/>
    <w:basedOn w:val="8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4">
    <w:name w:val="Hyperlink"/>
    <w:rPr>
      <w:color w:val="0000ff"/>
      <w:u w:val="single"/>
    </w:rPr>
  </w:style>
  <w:style w:type="paragraph" w:styleId="875">
    <w:name w:val="footnote text"/>
    <w:basedOn w:val="841"/>
    <w:link w:val="876"/>
    <w:uiPriority w:val="99"/>
    <w:unhideWhenUsed/>
    <w:rPr>
      <w:sz w:val="20"/>
      <w:szCs w:val="20"/>
    </w:rPr>
  </w:style>
  <w:style w:type="character" w:styleId="876" w:customStyle="1">
    <w:name w:val="Текст сноски Знак"/>
    <w:basedOn w:val="843"/>
    <w:link w:val="875"/>
    <w:uiPriority w:val="99"/>
  </w:style>
  <w:style w:type="character" w:styleId="877">
    <w:name w:val="footnote reference"/>
    <w:uiPriority w:val="99"/>
    <w:unhideWhenUsed/>
    <w:rPr>
      <w:vertAlign w:val="superscript"/>
    </w:rPr>
  </w:style>
  <w:style w:type="character" w:styleId="878" w:customStyle="1">
    <w:name w:val="Верхний колонтитул Знак"/>
    <w:link w:val="846"/>
    <w:uiPriority w:val="99"/>
    <w:rPr>
      <w:sz w:val="24"/>
      <w:szCs w:val="24"/>
    </w:rPr>
  </w:style>
  <w:style w:type="paragraph" w:styleId="879" w:customStyle="1">
    <w:name w:val="s_1"/>
    <w:basedOn w:val="871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F6E0818AD70AAA66E18CD0383046322B7F70DE17D0CBCBF2DD92331B4DB50E58DAECF86B51A54B252CA9A88D6D237F4F24E860B108473D331CBD6C496Fn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Управление по вопросам семьи и детстсва</Company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 утверждении Положения об управлении по делам молодежи администрации муниципального образования город Краснодар» на рассмотрение городской Думы Краснодара</dc:title>
  <dc:subject/>
  <dc:creator>1</dc:creator>
  <cp:keywords/>
  <cp:revision>20</cp:revision>
  <dcterms:created xsi:type="dcterms:W3CDTF">2020-07-27T13:45:00Z</dcterms:created>
  <dcterms:modified xsi:type="dcterms:W3CDTF">2023-08-21T06:22:35Z</dcterms:modified>
</cp:coreProperties>
</file>