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ascii="Times New Roman" w:hAnsi="Times New Roman" w:cs="Times New Roman" w:eastAsiaTheme="minorHAnsi"/>
          <w:sz w:val="28"/>
          <w:szCs w:val="28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Выдача акта о приёме (об отказе в приёме) завершённого переустройства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 (или) перепланиро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вки жилого (нежилого) помещения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о</w:t>
      </w:r>
      <w:r>
        <w:rPr>
          <w:rFonts w:eastAsiaTheme="minorHAnsi"/>
          <w:b/>
          <w:sz w:val="28"/>
          <w:szCs w:val="28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8"/>
        </w:rPr>
        <w:outlineLvl w:val="1"/>
      </w:pPr>
      <w:r>
        <w:rPr>
          <w:rFonts w:eastAsiaTheme="minorHAnsi"/>
          <w:b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собственником (уполномоченное им лицо) или уполномоченный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наймодателем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наниматель (по договору социального найма) жилого (нежилого помещения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</w:t>
            </w:r>
            <w:r>
              <w:rPr>
                <w:sz w:val="24"/>
                <w:szCs w:val="22"/>
              </w:rPr>
              <w:t xml:space="preserve">пункте </w:t>
            </w:r>
            <w:r>
              <w:rPr>
                <w:sz w:val="24"/>
                <w:szCs w:val="22"/>
              </w:rPr>
              <w:t xml:space="preserve">2 подраздела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.</w:t>
            </w:r>
            <w:r>
              <w:rPr>
                <w:sz w:val="24"/>
                <w:szCs w:val="22"/>
                <w:lang w:val="en-US"/>
              </w:rPr>
              <w:t xml:space="preserve">II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раз</w:t>
            </w:r>
            <w:r>
              <w:rPr>
                <w:sz w:val="24"/>
                <w:szCs w:val="22"/>
              </w:rPr>
              <w:t xml:space="preserve">дела </w:t>
            </w:r>
            <w:r>
              <w:rPr>
                <w:sz w:val="24"/>
                <w:szCs w:val="22"/>
                <w:lang w:val="en-US"/>
              </w:rPr>
              <w:t xml:space="preserve">I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А</w:t>
            </w:r>
            <w:r>
              <w:rPr>
                <w:sz w:val="24"/>
                <w:szCs w:val="22"/>
              </w:rPr>
              <w:t xml:space="preserve">дминистра-тивного регламента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84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38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собственником (уполномоченное им лицо) или уполномоченный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наймодателем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наниматель (по договору социального найма) жилого (нежилого помещения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38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Выдача акта о приёме (об отказе в приёме) завершённого переуст-ройства и (или) перепла-ниро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вки жилого (нежило-го) помещения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указан-ной в подпункте </w:t>
            </w:r>
            <w:r>
              <w:rPr>
                <w:sz w:val="24"/>
                <w:szCs w:val="24"/>
              </w:rPr>
              <w:t xml:space="preserve">1) пункта 42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Администра-</w:t>
            </w:r>
            <w:r>
              <w:rPr>
                <w:sz w:val="24"/>
                <w:szCs w:val="24"/>
              </w:rPr>
              <w:t xml:space="preserve">тивного регламента</w:t>
            </w:r>
            <w:r/>
          </w:p>
        </w:tc>
      </w:tr>
      <w:tr>
        <w:trPr>
          <w:trHeight w:val="4605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38"/>
              <w:widowControl w:val="off"/>
              <w:tabs>
                <w:tab w:val="left" w:pos="3402" w:leader="none"/>
              </w:tabs>
              <w:rPr>
                <w:sz w:val="24"/>
                <w:highlight w:val="none"/>
                <w:lang w:eastAsia="en-US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собственником (уполномоченное им лицо) или уполномоченный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наймодателем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наниматель (по договору социального найма) жилого (нежилого помещения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spacing w:lineRule="auto" w:line="238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both"/>
              <w:spacing w:lineRule="auto" w:line="235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sz w:val="24"/>
                <w:szCs w:val="28"/>
              </w:rPr>
              <w:t xml:space="preserve">Выдача акта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приёме (об отказе в приёме) завершённого переуст-ройства и (или) перепла-нировки жилого (нежи-лого) помещения на ранее выполненные рабо-ты без решения о согласовании переуст-ройства и (или) перепла-нировки помещения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мног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оквартирном дом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 указанной в подпункте </w:t>
            </w:r>
            <w:r>
              <w:rPr>
                <w:sz w:val="24"/>
                <w:szCs w:val="24"/>
              </w:rPr>
              <w:t xml:space="preserve">2) пункта 42</w:t>
            </w:r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одраздел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</w:t>
            </w:r>
            <w:r>
              <w:rPr>
                <w:sz w:val="24"/>
                <w:szCs w:val="24"/>
              </w:rPr>
              <w:t xml:space="preserve">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Администра-</w:t>
            </w:r>
            <w:r>
              <w:rPr>
                <w:sz w:val="24"/>
                <w:szCs w:val="24"/>
              </w:rPr>
              <w:t xml:space="preserve">тивного регламента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8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35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</w:t>
            </w:r>
            <w:r>
              <w:rPr>
                <w:rFonts w:ascii="Times New Roman" w:hAnsi="Times New Roman" w:cs="Times New Roman" w:eastAsiaTheme="minorHAnsi"/>
                <w:b w:val="false"/>
                <w:sz w:val="24"/>
                <w:szCs w:val="28"/>
              </w:rPr>
              <w:t xml:space="preserve">Выдача акта о приёме завершенного переустройства и (или) перепла-нировки жилого (нежилого) помещения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» по результатам предоставления которой выданы документы с допущенными опечатками и ошибками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 представители заявителя </w:t>
            </w:r>
            <w:bookmarkStart w:id="0" w:name="_GoBack"/>
            <w:r>
              <w:rPr>
                <w:rFonts w:eastAsiaTheme="minorHAnsi"/>
              </w:rPr>
            </w:r>
            <w:bookmarkEnd w:id="0"/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п</w:t>
            </w:r>
            <w:r>
              <w:rPr>
                <w:sz w:val="24"/>
                <w:szCs w:val="24"/>
              </w:rPr>
              <w:t xml:space="preserve">редоставле-ния</w:t>
            </w:r>
            <w:r>
              <w:rPr>
                <w:sz w:val="24"/>
                <w:szCs w:val="24"/>
              </w:rPr>
              <w:t xml:space="preserve"> муниципальной ус-луги, указанные в под-пункт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3) пункта 4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под-раздела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Админист</w:t>
            </w:r>
            <w:r>
              <w:rPr>
                <w:sz w:val="24"/>
                <w:szCs w:val="24"/>
              </w:rPr>
              <w:t xml:space="preserve">ративного</w:t>
            </w:r>
            <w:r>
              <w:rPr>
                <w:sz w:val="24"/>
                <w:szCs w:val="24"/>
              </w:rPr>
              <w:t xml:space="preserve"> рег-ламента</w:t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ConsPlusNormal"/>
    <w:rPr>
      <w:rFonts w:ascii="Arial" w:hAnsi="Arial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72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10</cp:revision>
  <dcterms:created xsi:type="dcterms:W3CDTF">2022-07-11T13:34:00Z</dcterms:created>
  <dcterms:modified xsi:type="dcterms:W3CDTF">2023-01-26T13:39:46Z</dcterms:modified>
</cp:coreProperties>
</file>