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afa"/>
        <w:ind w:firstLine="709"/>
        <w:rPr>
          <w:b w:val="0"/>
          <w:u w:val="none"/>
        </w:rPr>
      </w:pPr>
      <w:r>
        <w:rPr>
          <w:b w:val="0"/>
          <w:u w:val="none"/>
        </w:rPr>
        <w:t xml:space="preserve">                                                                                                 </w:t>
      </w:r>
    </w:p>
    <w:p>
      <w:pPr>
        <w:pStyle w:val="afa"/>
        <w:ind w:firstLine="709"/>
        <w:rPr>
          <w:b w:val="0"/>
          <w:u w:val="none"/>
        </w:rPr>
      </w:pPr>
    </w:p>
    <w:p>
      <w:pPr>
        <w:pStyle w:val="afa"/>
        <w:ind w:firstLine="709"/>
        <w:rPr>
          <w:b w:val="0"/>
          <w:u w:val="none"/>
        </w:rPr>
      </w:pPr>
      <w:r>
        <w:rPr>
          <w:b w:val="0"/>
          <w:u w:val="none"/>
        </w:rPr>
        <w:t xml:space="preserve">Итоги</w:t>
      </w:r>
      <w:r>
        <w:rPr>
          <w:b w:val="0"/>
          <w:u w:val="none"/>
        </w:rPr>
        <w:t xml:space="preserve"> социально-экономического развития</w:t>
      </w:r>
    </w:p>
    <w:p>
      <w:pPr>
        <w:pStyle w:val="afa"/>
        <w:ind w:firstLine="709"/>
        <w:rPr>
          <w:b w:val="0"/>
          <w:u w:val="none"/>
        </w:rPr>
      </w:pPr>
      <w:r>
        <w:rPr>
          <w:b w:val="0"/>
          <w:u w:val="none"/>
        </w:rPr>
        <w:t xml:space="preserve">муниципального образования город Краснодар</w:t>
      </w:r>
    </w:p>
    <w:p>
      <w:pPr>
        <w:pStyle w:val="afa"/>
        <w:ind w:firstLine="709"/>
        <w:rPr>
          <w:b w:val="0"/>
          <w:u w:val="none"/>
        </w:rPr>
      </w:pPr>
      <w:r>
        <w:rPr>
          <w:b w:val="0"/>
          <w:u w:val="none"/>
        </w:rPr>
        <w:t xml:space="preserve"> за январь-май 2024 года</w:t>
      </w:r>
    </w:p>
    <w:p>
      <w:pPr>
        <w:pStyle w:val="afa"/>
        <w:ind w:firstLine="709"/>
        <w:rPr>
          <w:b w:val="0"/>
          <w:u w:val="none"/>
        </w:rPr>
      </w:pPr>
    </w:p>
    <w:p>
      <w:pPr>
        <w:numPr>
          <w:numId w:val="2"/>
          <w:ilvl w:val="0"/>
        </w:numPr>
        <w:jc w:val="both"/>
        <w:rPr>
          <w:sz w:val="28"/>
          <w:szCs w:val="28"/>
        </w:rPr>
      </w:pPr>
      <w:r>
        <w:rPr>
          <w:sz w:val="28"/>
          <w:szCs w:val="28"/>
        </w:rPr>
        <w:t xml:space="preserve">Промышленность. </w:t>
      </w:r>
    </w:p>
    <w:p>
      <w:pPr>
        <w:ind w:firstLine="709"/>
        <w:jc w:val="both"/>
        <w:rPr>
          <w:sz w:val="28"/>
          <w:szCs w:val="28"/>
        </w:rPr>
      </w:pPr>
      <w:r>
        <w:rPr>
          <w:sz w:val="28"/>
          <w:szCs w:val="28"/>
        </w:rPr>
        <w:t xml:space="preserve">В январе-мае 2024 года объем отгруженной продукции крупными и средними промышленными предприятиями составил </w:t>
      </w:r>
      <w:r>
        <w:rPr>
          <w:sz w:val="28"/>
          <w:szCs w:val="28"/>
        </w:rPr>
        <w:t xml:space="preserve">98,1</w:t>
      </w:r>
      <w:r>
        <w:rPr>
          <w:sz w:val="28"/>
          <w:szCs w:val="28"/>
        </w:rPr>
        <w:t xml:space="preserve"> миллиарда рублей, что выше уровня аналогичного периода прошлого года на </w:t>
      </w:r>
      <w:r>
        <w:rPr>
          <w:sz w:val="28"/>
          <w:szCs w:val="28"/>
        </w:rPr>
        <w:t xml:space="preserve">8,6</w:t>
      </w:r>
      <w:r>
        <w:rPr>
          <w:sz w:val="28"/>
          <w:szCs w:val="28"/>
        </w:rPr>
        <w:t xml:space="preserve"> миллиарда рублей, или на </w:t>
      </w:r>
      <w:r>
        <w:rPr>
          <w:sz w:val="28"/>
          <w:szCs w:val="28"/>
        </w:rPr>
        <w:t xml:space="preserve">9,7</w:t>
      </w:r>
      <w:r>
        <w:rPr>
          <w:sz w:val="28"/>
          <w:szCs w:val="28"/>
        </w:rPr>
        <w:t xml:space="preserve"> процента. </w:t>
      </w:r>
    </w:p>
    <w:p>
      <w:pPr>
        <w:ind w:firstLine="708"/>
        <w:jc w:val="both"/>
        <w:rPr>
          <w:sz w:val="28"/>
          <w:szCs w:val="28"/>
        </w:rPr>
      </w:pPr>
      <w:r>
        <w:rPr>
          <w:sz w:val="28"/>
          <w:szCs w:val="28"/>
        </w:rPr>
        <w:t xml:space="preserve">Показатели отгрузки промышленной продукции предприятий обрабатывающих производств, в целом, показали положительную динамику - рост объемов отгруженной продукции на </w:t>
      </w:r>
      <w:r>
        <w:rPr>
          <w:sz w:val="28"/>
          <w:szCs w:val="28"/>
        </w:rPr>
        <w:t xml:space="preserve">8,1</w:t>
      </w:r>
      <w:r>
        <w:rPr>
          <w:sz w:val="28"/>
          <w:szCs w:val="28"/>
        </w:rPr>
        <w:t xml:space="preserve"> миллиарда рублей, или на </w:t>
      </w:r>
      <w:r>
        <w:rPr>
          <w:sz w:val="28"/>
          <w:szCs w:val="28"/>
        </w:rPr>
        <w:t xml:space="preserve">22,1</w:t>
      </w:r>
      <w:r>
        <w:rPr>
          <w:sz w:val="28"/>
          <w:szCs w:val="28"/>
        </w:rPr>
        <w:t xml:space="preserve"> процента. При этом, отмечаются высокие темпы роста объемов отгруженной продукции по предприятиям обрабатывающих отраслей, занятым в производстве металлургическом – в 1,5 </w:t>
      </w:r>
      <w:r>
        <w:rPr>
          <w:sz w:val="28"/>
          <w:szCs w:val="28"/>
        </w:rPr>
        <w:t xml:space="preserve">раза, в</w:t>
      </w:r>
      <w:r>
        <w:rPr>
          <w:sz w:val="28"/>
          <w:szCs w:val="28"/>
        </w:rPr>
        <w:t xml:space="preserve"> производстве химических веществ и химических продуктов – в 1,6 раза, в производстве бумаги и бумажных изделий – в 1,</w:t>
      </w:r>
      <w:r>
        <w:rPr>
          <w:sz w:val="28"/>
          <w:szCs w:val="28"/>
        </w:rPr>
        <w:t xml:space="preserve">2</w:t>
      </w:r>
      <w:r>
        <w:rPr>
          <w:sz w:val="28"/>
          <w:szCs w:val="28"/>
        </w:rPr>
        <w:t xml:space="preserve"> раза, в производстве напитков – в 1,3 раза, в производстве готовых металлических изделий, кроме машин и оборудования– на </w:t>
      </w:r>
      <w:r>
        <w:rPr>
          <w:sz w:val="28"/>
          <w:szCs w:val="28"/>
        </w:rPr>
        <w:t xml:space="preserve">11,9</w:t>
      </w:r>
      <w:r>
        <w:rPr>
          <w:sz w:val="28"/>
          <w:szCs w:val="28"/>
        </w:rPr>
        <w:t xml:space="preserve"> процента, в производстве пищевых продуктов – на </w:t>
      </w:r>
      <w:r>
        <w:rPr>
          <w:sz w:val="28"/>
          <w:szCs w:val="28"/>
        </w:rPr>
        <w:t xml:space="preserve">21,5</w:t>
      </w:r>
      <w:r>
        <w:rPr>
          <w:sz w:val="28"/>
          <w:szCs w:val="28"/>
        </w:rPr>
        <w:t xml:space="preserve"> процента.</w:t>
      </w:r>
    </w:p>
    <w:p>
      <w:pPr>
        <w:ind w:firstLine="708"/>
        <w:jc w:val="both"/>
        <w:rPr>
          <w:rFonts w:eastAsia="Calibri"/>
          <w:sz w:val="28"/>
          <w:szCs w:val="28"/>
          <w:lang w:eastAsia="en-US"/>
        </w:rPr>
      </w:pPr>
      <w:r>
        <w:rPr>
          <w:rFonts w:eastAsia="Calibri"/>
          <w:sz w:val="28"/>
          <w:szCs w:val="28"/>
          <w:lang w:eastAsia="en-US"/>
        </w:rPr>
        <w:t xml:space="preserve">По остальным основным группам отрасли «Промышленность» ситуация сложилась следующим образом.</w:t>
      </w:r>
    </w:p>
    <w:p>
      <w:pPr>
        <w:ind w:firstLine="708"/>
        <w:jc w:val="both"/>
        <w:rPr>
          <w:rFonts w:eastAsia="Calibri"/>
          <w:sz w:val="28"/>
          <w:szCs w:val="28"/>
          <w:lang w:eastAsia="en-US"/>
        </w:rPr>
      </w:pPr>
      <w:r>
        <w:rPr>
          <w:rFonts w:eastAsia="Calibri"/>
          <w:sz w:val="28"/>
          <w:szCs w:val="28"/>
          <w:lang w:eastAsia="en-US"/>
        </w:rPr>
        <w:t xml:space="preserve">По предприятиям, занятым в </w:t>
      </w:r>
      <w:r>
        <w:rPr>
          <w:sz w:val="28"/>
          <w:szCs w:val="28"/>
        </w:rPr>
        <w:t xml:space="preserve">добыче полезных ископаемых, объем отгруженной продукции составил </w:t>
      </w:r>
      <w:r>
        <w:rPr>
          <w:sz w:val="28"/>
          <w:szCs w:val="28"/>
        </w:rPr>
        <w:t xml:space="preserve">96,9</w:t>
      </w:r>
      <w:r>
        <w:rPr>
          <w:sz w:val="28"/>
          <w:szCs w:val="28"/>
        </w:rPr>
        <w:t xml:space="preserve"> миллиона рублей, что составляет </w:t>
      </w:r>
      <w:r>
        <w:rPr>
          <w:sz w:val="28"/>
          <w:szCs w:val="28"/>
        </w:rPr>
        <w:t xml:space="preserve">3,7</w:t>
      </w:r>
      <w:r>
        <w:rPr>
          <w:sz w:val="28"/>
          <w:szCs w:val="28"/>
        </w:rPr>
        <w:t xml:space="preserve"> процента от уровня соответствующего периода прошлого года. </w:t>
      </w:r>
    </w:p>
    <w:p>
      <w:pPr>
        <w:ind w:firstLine="709"/>
        <w:jc w:val="both"/>
        <w:rPr>
          <w:sz w:val="28"/>
          <w:szCs w:val="28"/>
        </w:rPr>
      </w:pPr>
      <w:r>
        <w:rPr>
          <w:sz w:val="28"/>
          <w:szCs w:val="28"/>
        </w:rPr>
        <w:t xml:space="preserve">Обеспечение электрической энергией, газом и паром. Объем отгруженной продукции по данному виду деятельности превысил </w:t>
      </w:r>
      <w:r>
        <w:rPr>
          <w:sz w:val="28"/>
          <w:szCs w:val="28"/>
        </w:rPr>
        <w:t xml:space="preserve">49,4</w:t>
      </w:r>
      <w:r>
        <w:rPr>
          <w:sz w:val="28"/>
          <w:szCs w:val="28"/>
        </w:rPr>
        <w:t xml:space="preserve"> миллиарда рублей, темп роста – </w:t>
      </w:r>
      <w:r>
        <w:rPr>
          <w:sz w:val="28"/>
          <w:szCs w:val="28"/>
        </w:rPr>
        <w:t xml:space="preserve">106</w:t>
      </w:r>
      <w:r>
        <w:rPr>
          <w:sz w:val="28"/>
          <w:szCs w:val="28"/>
        </w:rPr>
        <w:t xml:space="preserve"> процента. </w:t>
      </w:r>
    </w:p>
    <w:p>
      <w:pPr>
        <w:ind w:firstLine="720"/>
        <w:jc w:val="both"/>
        <w:rPr>
          <w:bCs/>
          <w:sz w:val="28"/>
          <w:szCs w:val="28"/>
        </w:rPr>
      </w:pPr>
      <w:r>
        <w:rPr>
          <w:sz w:val="28"/>
          <w:szCs w:val="28"/>
        </w:rPr>
        <w:t xml:space="preserve">По предприятиям, занятым </w:t>
      </w:r>
      <w:r>
        <w:rPr>
          <w:color w:val="000000"/>
          <w:sz w:val="28"/>
          <w:szCs w:val="28"/>
        </w:rPr>
        <w:t xml:space="preserve">водоснабжением, водоотведением, организацией сбора и утилизацией отходов, деятельностью по ликвидации загрязнений объем отгруженной продукции составил </w:t>
      </w:r>
      <w:r>
        <w:rPr>
          <w:color w:val="000000"/>
          <w:sz w:val="28"/>
          <w:szCs w:val="28"/>
        </w:rPr>
        <w:t xml:space="preserve">3,8</w:t>
      </w:r>
      <w:r>
        <w:rPr>
          <w:color w:val="000000"/>
          <w:sz w:val="28"/>
          <w:szCs w:val="28"/>
        </w:rPr>
        <w:t xml:space="preserve"> миллиарда рублей, темп роста к аналогичному периоду прошлого года – </w:t>
      </w:r>
      <w:r>
        <w:rPr>
          <w:color w:val="000000"/>
          <w:sz w:val="28"/>
          <w:szCs w:val="28"/>
        </w:rPr>
        <w:t xml:space="preserve">108,4</w:t>
      </w:r>
      <w:r>
        <w:rPr>
          <w:color w:val="000000"/>
          <w:sz w:val="28"/>
          <w:szCs w:val="28"/>
        </w:rPr>
        <w:t xml:space="preserve"> процента. </w:t>
      </w:r>
    </w:p>
    <w:p>
      <w:pPr>
        <w:ind w:firstLine="709"/>
        <w:jc w:val="both"/>
        <w:rPr>
          <w:sz w:val="28"/>
          <w:szCs w:val="28"/>
        </w:rPr>
      </w:pPr>
    </w:p>
    <w:p>
      <w:pPr>
        <w:numPr>
          <w:numId w:val="2"/>
          <w:ilvl w:val="0"/>
        </w:numPr>
        <w:jc w:val="both"/>
        <w:rPr>
          <w:sz w:val="28"/>
          <w:szCs w:val="28"/>
        </w:rPr>
      </w:pPr>
      <w:r>
        <w:rPr>
          <w:sz w:val="28"/>
          <w:szCs w:val="28"/>
        </w:rPr>
        <w:t xml:space="preserve">Сельское хозяйство.</w:t>
      </w:r>
    </w:p>
    <w:p>
      <w:pPr>
        <w:ind w:firstLine="709"/>
        <w:jc w:val="both"/>
        <w:rPr>
          <w:sz w:val="28"/>
          <w:szCs w:val="28"/>
        </w:rPr>
      </w:pPr>
      <w:r>
        <w:rPr>
          <w:sz w:val="28"/>
          <w:szCs w:val="28"/>
        </w:rPr>
        <w:t xml:space="preserve">Крупными и средними </w:t>
      </w:r>
      <w:r>
        <w:rPr>
          <w:sz w:val="28"/>
          <w:szCs w:val="28"/>
        </w:rPr>
        <w:t xml:space="preserve">сельхозорганизациями</w:t>
      </w:r>
      <w:r>
        <w:rPr>
          <w:sz w:val="28"/>
          <w:szCs w:val="28"/>
        </w:rPr>
        <w:t xml:space="preserve"> в отчетном периоде произведено и отгружено продукции на сумму </w:t>
      </w:r>
      <w:r>
        <w:rPr>
          <w:sz w:val="28"/>
          <w:szCs w:val="28"/>
        </w:rPr>
        <w:t xml:space="preserve">8,4</w:t>
      </w:r>
      <w:r>
        <w:rPr>
          <w:sz w:val="28"/>
          <w:szCs w:val="28"/>
        </w:rPr>
        <w:t xml:space="preserve"> миллиарда рублей, что в 1,</w:t>
      </w:r>
      <w:r>
        <w:rPr>
          <w:sz w:val="28"/>
          <w:szCs w:val="28"/>
        </w:rPr>
        <w:t xml:space="preserve">4</w:t>
      </w:r>
      <w:r>
        <w:rPr>
          <w:sz w:val="28"/>
          <w:szCs w:val="28"/>
        </w:rPr>
        <w:t xml:space="preserve"> раза выше уровня января-</w:t>
      </w:r>
      <w:r>
        <w:rPr>
          <w:sz w:val="28"/>
          <w:szCs w:val="28"/>
        </w:rPr>
        <w:t xml:space="preserve">мая</w:t>
      </w:r>
      <w:r>
        <w:rPr>
          <w:sz w:val="28"/>
          <w:szCs w:val="28"/>
        </w:rPr>
        <w:t xml:space="preserve"> 2023 года</w:t>
      </w:r>
      <w:r>
        <w:rPr>
          <w:sz w:val="28"/>
          <w:szCs w:val="28"/>
        </w:rPr>
        <w:t xml:space="preserve">.</w:t>
      </w:r>
      <w:r>
        <w:rPr>
          <w:sz w:val="28"/>
          <w:szCs w:val="28"/>
        </w:rPr>
        <w:t xml:space="preserve"> </w:t>
      </w:r>
    </w:p>
    <w:p>
      <w:pPr>
        <w:ind w:firstLine="709"/>
        <w:jc w:val="both"/>
        <w:rPr>
          <w:sz w:val="28"/>
          <w:szCs w:val="28"/>
        </w:rPr>
      </w:pPr>
      <w:r>
        <w:rPr>
          <w:sz w:val="28"/>
          <w:szCs w:val="28"/>
        </w:rPr>
        <w:t xml:space="preserve">В отчетном периоде производство мяса скота и птицы на убой (в живом весе) составило </w:t>
      </w:r>
      <w:r>
        <w:rPr>
          <w:sz w:val="28"/>
          <w:szCs w:val="28"/>
        </w:rPr>
        <w:t xml:space="preserve">6,5</w:t>
      </w:r>
      <w:r>
        <w:rPr>
          <w:sz w:val="28"/>
          <w:szCs w:val="28"/>
        </w:rPr>
        <w:t xml:space="preserve"> тысяч тонн, что выше показателя января-</w:t>
      </w:r>
      <w:r>
        <w:rPr>
          <w:sz w:val="28"/>
          <w:szCs w:val="28"/>
        </w:rPr>
        <w:t xml:space="preserve">мая</w:t>
      </w:r>
      <w:r>
        <w:rPr>
          <w:sz w:val="28"/>
          <w:szCs w:val="28"/>
        </w:rPr>
        <w:t xml:space="preserve"> 2023 года</w:t>
      </w:r>
      <w:r>
        <w:rPr>
          <w:sz w:val="28"/>
          <w:szCs w:val="28"/>
        </w:rPr>
        <w:t xml:space="preserve"> в 1,4 раза</w:t>
      </w:r>
      <w:r>
        <w:rPr>
          <w:sz w:val="28"/>
          <w:szCs w:val="28"/>
        </w:rPr>
        <w:t xml:space="preserve">.</w:t>
      </w:r>
      <w:r>
        <w:rPr>
          <w:sz w:val="28"/>
          <w:szCs w:val="28"/>
        </w:rPr>
        <w:t xml:space="preserve"> </w:t>
      </w:r>
      <w:r>
        <w:rPr>
          <w:sz w:val="28"/>
          <w:szCs w:val="28"/>
        </w:rPr>
        <w:t xml:space="preserve">М</w:t>
      </w:r>
      <w:r>
        <w:rPr>
          <w:sz w:val="28"/>
          <w:szCs w:val="28"/>
        </w:rPr>
        <w:t xml:space="preserve">олока произведено </w:t>
      </w:r>
      <w:r>
        <w:rPr>
          <w:sz w:val="28"/>
          <w:szCs w:val="28"/>
        </w:rPr>
        <w:t xml:space="preserve">9,5</w:t>
      </w:r>
      <w:r>
        <w:rPr>
          <w:sz w:val="28"/>
          <w:szCs w:val="28"/>
        </w:rPr>
        <w:t xml:space="preserve"> тыс. тонн, что выше аналогичного периода 2023 года на </w:t>
      </w:r>
      <w:r>
        <w:rPr>
          <w:sz w:val="28"/>
          <w:szCs w:val="28"/>
        </w:rPr>
        <w:t xml:space="preserve">1,1</w:t>
      </w:r>
      <w:r>
        <w:rPr>
          <w:sz w:val="28"/>
          <w:szCs w:val="28"/>
        </w:rPr>
        <w:t xml:space="preserve"> процента.</w:t>
      </w:r>
      <w:r>
        <w:rPr>
          <w:sz w:val="28"/>
          <w:szCs w:val="28"/>
        </w:rPr>
        <w:t xml:space="preserve"> Производство яиц выросло в 1,2 раза</w:t>
      </w:r>
      <w:r>
        <w:rPr>
          <w:sz w:val="28"/>
          <w:szCs w:val="28"/>
        </w:rPr>
        <w:t xml:space="preserve">.</w:t>
      </w:r>
    </w:p>
    <w:p>
      <w:pPr>
        <w:ind w:firstLine="709"/>
        <w:jc w:val="both"/>
        <w:rPr>
          <w:sz w:val="28"/>
          <w:szCs w:val="28"/>
        </w:rPr>
      </w:pPr>
    </w:p>
    <w:p>
      <w:pPr>
        <w:ind w:firstLine="709"/>
        <w:jc w:val="both"/>
        <w:rPr>
          <w:sz w:val="28"/>
          <w:szCs w:val="28"/>
        </w:rPr>
      </w:pPr>
    </w:p>
    <w:p>
      <w:pPr>
        <w:ind w:firstLine="709"/>
        <w:jc w:val="both"/>
        <w:rPr>
          <w:sz w:val="28"/>
          <w:szCs w:val="28"/>
        </w:rPr>
      </w:pPr>
      <w:bookmarkStart w:id="0" w:name="_GoBack"/>
      <w:bookmarkEnd w:id="0"/>
    </w:p>
    <w:p>
      <w:pPr>
        <w:ind w:firstLine="709"/>
        <w:jc w:val="both"/>
        <w:rPr>
          <w:sz w:val="28"/>
          <w:szCs w:val="28"/>
        </w:rPr>
      </w:pPr>
    </w:p>
    <w:p>
      <w:pPr>
        <w:numPr>
          <w:numId w:val="2"/>
          <w:ilvl w:val="0"/>
        </w:numPr>
        <w:jc w:val="both"/>
        <w:rPr>
          <w:sz w:val="28"/>
          <w:szCs w:val="28"/>
        </w:rPr>
      </w:pPr>
      <w:r>
        <w:rPr>
          <w:sz w:val="28"/>
          <w:szCs w:val="28"/>
        </w:rPr>
        <w:t xml:space="preserve">Строительный комплекс.</w:t>
      </w:r>
    </w:p>
    <w:p>
      <w:pPr>
        <w:ind w:firstLine="720"/>
        <w:jc w:val="both"/>
        <w:rPr>
          <w:bCs/>
          <w:sz w:val="28"/>
          <w:szCs w:val="28"/>
        </w:rPr>
      </w:pPr>
      <w:r>
        <w:rPr>
          <w:sz w:val="28"/>
          <w:szCs w:val="28"/>
        </w:rPr>
        <w:t xml:space="preserve">Объем работ, выполненных по виду деятельности «строительство», в январе-</w:t>
      </w:r>
      <w:r>
        <w:rPr>
          <w:sz w:val="28"/>
          <w:szCs w:val="28"/>
        </w:rPr>
        <w:t xml:space="preserve">мае</w:t>
      </w:r>
      <w:r>
        <w:rPr>
          <w:sz w:val="28"/>
          <w:szCs w:val="28"/>
        </w:rPr>
        <w:t xml:space="preserve"> 2024 года превысил </w:t>
      </w:r>
      <w:r>
        <w:rPr>
          <w:sz w:val="28"/>
          <w:szCs w:val="28"/>
        </w:rPr>
        <w:t xml:space="preserve">19,8</w:t>
      </w:r>
      <w:r>
        <w:rPr>
          <w:sz w:val="28"/>
          <w:szCs w:val="28"/>
        </w:rPr>
        <w:t xml:space="preserve"> миллиард</w:t>
      </w:r>
      <w:r>
        <w:rPr>
          <w:sz w:val="28"/>
          <w:szCs w:val="28"/>
        </w:rPr>
        <w:t xml:space="preserve">а</w:t>
      </w:r>
      <w:r>
        <w:rPr>
          <w:sz w:val="28"/>
          <w:szCs w:val="28"/>
        </w:rPr>
        <w:t xml:space="preserve"> рублей, темп роста в сопоставимых ценах – </w:t>
      </w:r>
      <w:r>
        <w:rPr>
          <w:sz w:val="28"/>
          <w:szCs w:val="28"/>
        </w:rPr>
        <w:t xml:space="preserve">149,6</w:t>
      </w:r>
      <w:r>
        <w:rPr>
          <w:sz w:val="28"/>
          <w:szCs w:val="28"/>
        </w:rPr>
        <w:t xml:space="preserve"> процента</w:t>
      </w:r>
      <w:r>
        <w:rPr>
          <w:sz w:val="28"/>
          <w:szCs w:val="28"/>
        </w:rPr>
        <w:t xml:space="preserve">.</w:t>
      </w:r>
      <w:r>
        <w:rPr>
          <w:sz w:val="28"/>
          <w:szCs w:val="28"/>
        </w:rPr>
        <w:t xml:space="preserve"> </w:t>
      </w:r>
    </w:p>
    <w:p>
      <w:pPr>
        <w:ind w:firstLine="709"/>
        <w:jc w:val="both"/>
        <w:rPr>
          <w:sz w:val="28"/>
          <w:szCs w:val="28"/>
        </w:rPr>
      </w:pPr>
      <w:r>
        <w:rPr>
          <w:sz w:val="28"/>
          <w:szCs w:val="28"/>
        </w:rPr>
        <w:t xml:space="preserve">По состоянию на 01.0</w:t>
      </w:r>
      <w:r>
        <w:rPr>
          <w:sz w:val="28"/>
          <w:szCs w:val="28"/>
        </w:rPr>
        <w:t xml:space="preserve">6</w:t>
      </w:r>
      <w:r>
        <w:rPr>
          <w:sz w:val="28"/>
          <w:szCs w:val="28"/>
        </w:rPr>
        <w:t xml:space="preserve">.2024 введено в эксплуатацию </w:t>
      </w:r>
      <w:r>
        <w:rPr>
          <w:sz w:val="28"/>
          <w:szCs w:val="28"/>
        </w:rPr>
        <w:t xml:space="preserve">805,4</w:t>
      </w:r>
      <w:r>
        <w:rPr>
          <w:sz w:val="28"/>
          <w:szCs w:val="28"/>
        </w:rPr>
        <w:t xml:space="preserve"> тысяч квадратных метров жилья, что на </w:t>
      </w:r>
      <w:r>
        <w:rPr>
          <w:sz w:val="28"/>
          <w:szCs w:val="28"/>
        </w:rPr>
        <w:t xml:space="preserve">28,5</w:t>
      </w:r>
      <w:r>
        <w:rPr>
          <w:sz w:val="28"/>
          <w:szCs w:val="28"/>
        </w:rPr>
        <w:t xml:space="preserve"> процента ниже уровня аналогичного периода 2023 года, в том числе многоквартирного жилья – </w:t>
      </w:r>
      <w:r>
        <w:rPr>
          <w:sz w:val="28"/>
          <w:szCs w:val="28"/>
        </w:rPr>
        <w:t xml:space="preserve">443,5</w:t>
      </w:r>
      <w:r>
        <w:rPr>
          <w:sz w:val="28"/>
          <w:szCs w:val="28"/>
        </w:rPr>
        <w:t xml:space="preserve"> тысячи квадратных метров жилья, или </w:t>
      </w:r>
      <w:r>
        <w:rPr>
          <w:sz w:val="28"/>
          <w:szCs w:val="28"/>
        </w:rPr>
        <w:t xml:space="preserve">62</w:t>
      </w:r>
      <w:r>
        <w:rPr>
          <w:sz w:val="28"/>
          <w:szCs w:val="28"/>
        </w:rPr>
        <w:t xml:space="preserve"> процента к уровню января-</w:t>
      </w:r>
      <w:r>
        <w:rPr>
          <w:sz w:val="28"/>
          <w:szCs w:val="28"/>
        </w:rPr>
        <w:t xml:space="preserve">мая</w:t>
      </w:r>
      <w:r>
        <w:rPr>
          <w:sz w:val="28"/>
          <w:szCs w:val="28"/>
        </w:rPr>
        <w:t xml:space="preserve"> 2023 года, индивидуального – </w:t>
      </w:r>
      <w:r>
        <w:rPr>
          <w:sz w:val="28"/>
          <w:szCs w:val="28"/>
        </w:rPr>
        <w:t xml:space="preserve">361,8</w:t>
      </w:r>
      <w:r>
        <w:rPr>
          <w:sz w:val="28"/>
          <w:szCs w:val="28"/>
        </w:rPr>
        <w:t xml:space="preserve"> тысяч квадратных метров жилья – </w:t>
      </w:r>
      <w:r>
        <w:rPr>
          <w:sz w:val="28"/>
          <w:szCs w:val="28"/>
        </w:rPr>
        <w:t xml:space="preserve">88,2</w:t>
      </w:r>
      <w:r>
        <w:rPr>
          <w:sz w:val="28"/>
          <w:szCs w:val="28"/>
        </w:rPr>
        <w:t xml:space="preserve"> процент</w:t>
      </w:r>
      <w:r>
        <w:rPr>
          <w:sz w:val="28"/>
          <w:szCs w:val="28"/>
        </w:rPr>
        <w:t xml:space="preserve">а</w:t>
      </w:r>
      <w:r>
        <w:rPr>
          <w:sz w:val="28"/>
          <w:szCs w:val="28"/>
        </w:rPr>
        <w:t xml:space="preserve">. </w:t>
      </w:r>
    </w:p>
    <w:p>
      <w:pPr>
        <w:ind w:firstLine="709"/>
        <w:jc w:val="both"/>
        <w:rPr>
          <w:sz w:val="28"/>
          <w:szCs w:val="28"/>
        </w:rPr>
      </w:pPr>
    </w:p>
    <w:p>
      <w:pPr>
        <w:numPr>
          <w:numId w:val="2"/>
          <w:ilvl w:val="0"/>
        </w:numPr>
        <w:jc w:val="both"/>
        <w:rPr>
          <w:sz w:val="28"/>
          <w:szCs w:val="28"/>
        </w:rPr>
      </w:pPr>
      <w:r>
        <w:rPr>
          <w:sz w:val="28"/>
          <w:szCs w:val="28"/>
        </w:rPr>
        <w:t xml:space="preserve">Транспортировка и хранение, деятельность в области информации и связи.</w:t>
      </w:r>
    </w:p>
    <w:p>
      <w:pPr>
        <w:tabs>
          <w:tab w:val="left" w:pos="627"/>
        </w:tabs>
        <w:ind w:firstLine="709"/>
        <w:jc w:val="both"/>
        <w:rPr>
          <w:sz w:val="28"/>
          <w:szCs w:val="28"/>
        </w:rPr>
      </w:pPr>
      <w:r>
        <w:rPr>
          <w:sz w:val="28"/>
          <w:szCs w:val="28"/>
        </w:rPr>
        <w:t xml:space="preserve">Объем услуг, оказанных крупными и средними хозяйствующими субъектами транспортного комплекса города, составил </w:t>
      </w:r>
      <w:r>
        <w:rPr>
          <w:sz w:val="28"/>
          <w:szCs w:val="28"/>
        </w:rPr>
        <w:t xml:space="preserve">20,6</w:t>
      </w:r>
      <w:r>
        <w:rPr>
          <w:sz w:val="28"/>
          <w:szCs w:val="28"/>
        </w:rPr>
        <w:t xml:space="preserve"> миллиарда рублей, темп роста </w:t>
      </w:r>
      <w:r>
        <w:rPr>
          <w:sz w:val="28"/>
          <w:szCs w:val="28"/>
        </w:rPr>
        <w:t xml:space="preserve">98,5</w:t>
      </w:r>
      <w:r>
        <w:rPr>
          <w:sz w:val="28"/>
          <w:szCs w:val="28"/>
        </w:rPr>
        <w:t xml:space="preserve"> процента</w:t>
      </w:r>
      <w:r>
        <w:rPr>
          <w:sz w:val="28"/>
          <w:szCs w:val="28"/>
        </w:rPr>
        <w:t xml:space="preserve">.</w:t>
      </w:r>
      <w:r>
        <w:rPr>
          <w:sz w:val="28"/>
          <w:szCs w:val="28"/>
        </w:rPr>
        <w:t xml:space="preserve"> </w:t>
      </w:r>
    </w:p>
    <w:p>
      <w:pPr>
        <w:tabs>
          <w:tab w:val="left" w:pos="627"/>
        </w:tabs>
        <w:ind w:firstLine="709"/>
        <w:jc w:val="both"/>
        <w:rPr>
          <w:sz w:val="28"/>
          <w:szCs w:val="28"/>
        </w:rPr>
      </w:pPr>
      <w:r>
        <w:rPr>
          <w:sz w:val="28"/>
          <w:szCs w:val="28"/>
        </w:rPr>
        <w:t xml:space="preserve">В отчетном периоде крупными и средними предприятиями автомобильного транспорта перевезено </w:t>
      </w:r>
      <w:r>
        <w:rPr>
          <w:sz w:val="28"/>
          <w:szCs w:val="28"/>
        </w:rPr>
        <w:t xml:space="preserve">1840,1</w:t>
      </w:r>
      <w:r>
        <w:rPr>
          <w:sz w:val="28"/>
          <w:szCs w:val="28"/>
        </w:rPr>
        <w:t xml:space="preserve"> тыс. тонн грузов, что на </w:t>
      </w:r>
      <w:r>
        <w:rPr>
          <w:sz w:val="28"/>
          <w:szCs w:val="28"/>
        </w:rPr>
        <w:t xml:space="preserve">26,4</w:t>
      </w:r>
      <w:r>
        <w:rPr>
          <w:sz w:val="28"/>
          <w:szCs w:val="28"/>
        </w:rPr>
        <w:t xml:space="preserve"> процента ниже, чем в аналогичном периоде прошлого года, грузооборот данного вида транспорта сократился на </w:t>
      </w:r>
      <w:r>
        <w:rPr>
          <w:sz w:val="28"/>
          <w:szCs w:val="28"/>
        </w:rPr>
        <w:t xml:space="preserve">42,5</w:t>
      </w:r>
      <w:r>
        <w:rPr>
          <w:sz w:val="28"/>
          <w:szCs w:val="28"/>
        </w:rPr>
        <w:t xml:space="preserve"> процента</w:t>
      </w:r>
      <w:r>
        <w:rPr>
          <w:sz w:val="28"/>
          <w:szCs w:val="28"/>
        </w:rPr>
        <w:t xml:space="preserve">. </w:t>
      </w:r>
    </w:p>
    <w:p>
      <w:pPr>
        <w:tabs>
          <w:tab w:val="left" w:pos="627"/>
        </w:tabs>
        <w:ind w:firstLine="709"/>
        <w:jc w:val="both"/>
        <w:rPr>
          <w:sz w:val="28"/>
          <w:szCs w:val="28"/>
        </w:rPr>
      </w:pPr>
      <w:r>
        <w:rPr>
          <w:sz w:val="28"/>
          <w:szCs w:val="28"/>
        </w:rPr>
        <w:t xml:space="preserve">Перевозка пассажиров крупными и средними предприятиями автомобильного транспорта увеличилась по сравнению с январем-</w:t>
      </w:r>
      <w:r>
        <w:rPr>
          <w:sz w:val="28"/>
          <w:szCs w:val="28"/>
        </w:rPr>
        <w:t xml:space="preserve">маем</w:t>
      </w:r>
      <w:r>
        <w:rPr>
          <w:sz w:val="28"/>
          <w:szCs w:val="28"/>
        </w:rPr>
        <w:t xml:space="preserve"> 2023 года на 8,6</w:t>
      </w:r>
      <w:r>
        <w:rPr>
          <w:sz w:val="28"/>
          <w:szCs w:val="28"/>
        </w:rPr>
        <w:t xml:space="preserve">9,2</w:t>
      </w:r>
      <w:r>
        <w:rPr>
          <w:sz w:val="28"/>
          <w:szCs w:val="28"/>
        </w:rPr>
        <w:t xml:space="preserve"> процента, пассажирооборот вырос на 13,</w:t>
      </w:r>
      <w:r>
        <w:rPr>
          <w:sz w:val="28"/>
          <w:szCs w:val="28"/>
        </w:rPr>
        <w:t xml:space="preserve">9</w:t>
      </w:r>
      <w:r>
        <w:rPr>
          <w:sz w:val="28"/>
          <w:szCs w:val="28"/>
        </w:rPr>
        <w:t xml:space="preserve"> процента. </w:t>
      </w:r>
    </w:p>
    <w:p>
      <w:pPr>
        <w:ind w:firstLine="709"/>
        <w:jc w:val="both"/>
        <w:rPr>
          <w:sz w:val="28"/>
          <w:szCs w:val="28"/>
        </w:rPr>
      </w:pPr>
      <w:r>
        <w:rPr>
          <w:sz w:val="28"/>
          <w:szCs w:val="28"/>
        </w:rPr>
        <w:t xml:space="preserve">Объем услуг связи превысил 30,3</w:t>
      </w:r>
      <w:r>
        <w:rPr>
          <w:sz w:val="28"/>
          <w:szCs w:val="28"/>
        </w:rPr>
        <w:t xml:space="preserve">38,0</w:t>
      </w:r>
      <w:r>
        <w:rPr>
          <w:sz w:val="28"/>
          <w:szCs w:val="28"/>
        </w:rPr>
        <w:t xml:space="preserve"> миллиард</w:t>
      </w:r>
      <w:r>
        <w:rPr>
          <w:sz w:val="28"/>
          <w:szCs w:val="28"/>
        </w:rPr>
        <w:t xml:space="preserve">ов</w:t>
      </w:r>
      <w:r>
        <w:rPr>
          <w:sz w:val="28"/>
          <w:szCs w:val="28"/>
        </w:rPr>
        <w:t xml:space="preserve"> рублей, темп роста – 110,</w:t>
      </w:r>
      <w:r>
        <w:rPr>
          <w:sz w:val="28"/>
          <w:szCs w:val="28"/>
        </w:rPr>
        <w:t xml:space="preserve">1</w:t>
      </w:r>
      <w:r>
        <w:rPr>
          <w:sz w:val="28"/>
          <w:szCs w:val="28"/>
        </w:rPr>
        <w:t xml:space="preserve"> процента.</w:t>
      </w:r>
    </w:p>
    <w:p>
      <w:pPr>
        <w:ind w:firstLine="709"/>
        <w:jc w:val="both"/>
        <w:rPr>
          <w:sz w:val="28"/>
          <w:szCs w:val="28"/>
        </w:rPr>
      </w:pPr>
    </w:p>
    <w:p>
      <w:pPr>
        <w:ind w:firstLine="709"/>
        <w:jc w:val="both"/>
        <w:rPr>
          <w:sz w:val="28"/>
          <w:szCs w:val="28"/>
        </w:rPr>
      </w:pPr>
      <w:r>
        <w:rPr>
          <w:sz w:val="28"/>
          <w:szCs w:val="28"/>
        </w:rPr>
        <w:t xml:space="preserve">5. Потребительский рынок.</w:t>
      </w:r>
    </w:p>
    <w:p>
      <w:pPr>
        <w:tabs>
          <w:tab w:val="left" w:pos="627"/>
        </w:tabs>
        <w:ind w:firstLine="709"/>
        <w:jc w:val="both"/>
        <w:rPr>
          <w:sz w:val="28"/>
          <w:szCs w:val="28"/>
        </w:rPr>
      </w:pPr>
      <w:r>
        <w:rPr>
          <w:sz w:val="28"/>
          <w:szCs w:val="28"/>
        </w:rPr>
        <w:t xml:space="preserve">Оборот розничной торговли по итогам января-</w:t>
      </w:r>
      <w:r>
        <w:rPr>
          <w:sz w:val="28"/>
          <w:szCs w:val="28"/>
        </w:rPr>
        <w:t xml:space="preserve">мая</w:t>
      </w:r>
      <w:r>
        <w:rPr>
          <w:sz w:val="28"/>
          <w:szCs w:val="28"/>
        </w:rPr>
        <w:t xml:space="preserve"> 2024 года превысил </w:t>
      </w:r>
      <w:r>
        <w:rPr>
          <w:sz w:val="28"/>
          <w:szCs w:val="28"/>
        </w:rPr>
        <w:t xml:space="preserve">243,3</w:t>
      </w:r>
      <w:r>
        <w:rPr>
          <w:sz w:val="28"/>
          <w:szCs w:val="28"/>
        </w:rPr>
        <w:t xml:space="preserve"> миллиарда рублей, темп роста в сопоставимых ценах – </w:t>
      </w:r>
      <w:r>
        <w:rPr>
          <w:sz w:val="28"/>
          <w:szCs w:val="28"/>
        </w:rPr>
        <w:t xml:space="preserve">125,4</w:t>
      </w:r>
      <w:r>
        <w:rPr>
          <w:sz w:val="28"/>
          <w:szCs w:val="28"/>
        </w:rPr>
        <w:t xml:space="preserve"> процента. </w:t>
      </w:r>
    </w:p>
    <w:p>
      <w:pPr>
        <w:ind w:firstLine="708"/>
        <w:jc w:val="both"/>
        <w:rPr>
          <w:sz w:val="28"/>
          <w:szCs w:val="28"/>
        </w:rPr>
      </w:pPr>
      <w:r>
        <w:rPr>
          <w:sz w:val="28"/>
          <w:szCs w:val="28"/>
        </w:rPr>
        <w:t xml:space="preserve">В январе-</w:t>
      </w:r>
      <w:r>
        <w:rPr>
          <w:sz w:val="28"/>
          <w:szCs w:val="28"/>
        </w:rPr>
        <w:t xml:space="preserve">мае</w:t>
      </w:r>
      <w:r>
        <w:rPr>
          <w:sz w:val="28"/>
          <w:szCs w:val="28"/>
        </w:rPr>
        <w:t xml:space="preserve"> 2024 года оборот крупных и средних предприятий общественного питания составил </w:t>
      </w:r>
      <w:r>
        <w:rPr>
          <w:sz w:val="28"/>
          <w:szCs w:val="28"/>
        </w:rPr>
        <w:t xml:space="preserve">5,1</w:t>
      </w:r>
      <w:r>
        <w:rPr>
          <w:sz w:val="28"/>
          <w:szCs w:val="28"/>
        </w:rPr>
        <w:t xml:space="preserve"> миллиарда рублей, что в сопоставимых ценах выше уровня аналогичного периода 2023 года на </w:t>
      </w:r>
      <w:r>
        <w:rPr>
          <w:sz w:val="28"/>
          <w:szCs w:val="28"/>
        </w:rPr>
        <w:t xml:space="preserve">9,0</w:t>
      </w:r>
      <w:r>
        <w:rPr>
          <w:sz w:val="28"/>
          <w:szCs w:val="28"/>
        </w:rPr>
        <w:t xml:space="preserve"> процент</w:t>
      </w:r>
      <w:r>
        <w:rPr>
          <w:sz w:val="28"/>
          <w:szCs w:val="28"/>
        </w:rPr>
        <w:t xml:space="preserve">ов</w:t>
      </w:r>
      <w:r>
        <w:rPr>
          <w:sz w:val="28"/>
          <w:szCs w:val="28"/>
        </w:rPr>
        <w:t xml:space="preserve">.</w:t>
      </w:r>
    </w:p>
    <w:p>
      <w:pPr>
        <w:tabs>
          <w:tab w:val="left" w:pos="627"/>
        </w:tabs>
        <w:ind w:firstLine="709"/>
        <w:jc w:val="both"/>
        <w:rPr>
          <w:sz w:val="28"/>
          <w:szCs w:val="28"/>
        </w:rPr>
      </w:pPr>
      <w:r>
        <w:rPr>
          <w:sz w:val="28"/>
          <w:szCs w:val="28"/>
        </w:rPr>
        <w:t xml:space="preserve">Объем платных услуг населению в отчетном периоде достиг </w:t>
      </w:r>
      <w:r>
        <w:rPr>
          <w:sz w:val="28"/>
          <w:szCs w:val="28"/>
        </w:rPr>
        <w:t xml:space="preserve">94,7</w:t>
      </w:r>
      <w:r>
        <w:rPr>
          <w:sz w:val="28"/>
          <w:szCs w:val="28"/>
        </w:rPr>
        <w:t xml:space="preserve"> миллиарда рублей, темп роста в сопоставимых ценах – </w:t>
      </w:r>
      <w:r>
        <w:rPr>
          <w:sz w:val="28"/>
          <w:szCs w:val="28"/>
        </w:rPr>
        <w:t xml:space="preserve">103,2</w:t>
      </w:r>
      <w:r>
        <w:rPr>
          <w:sz w:val="28"/>
          <w:szCs w:val="28"/>
        </w:rPr>
        <w:t xml:space="preserve"> процента.</w:t>
      </w:r>
    </w:p>
    <w:p>
      <w:pPr>
        <w:tabs>
          <w:tab w:val="left" w:pos="627"/>
        </w:tabs>
        <w:ind w:firstLine="709"/>
        <w:jc w:val="both"/>
        <w:rPr>
          <w:sz w:val="28"/>
          <w:szCs w:val="28"/>
        </w:rPr>
      </w:pPr>
    </w:p>
    <w:p>
      <w:pPr>
        <w:ind w:firstLine="709"/>
        <w:jc w:val="both"/>
        <w:rPr>
          <w:sz w:val="28"/>
          <w:szCs w:val="28"/>
        </w:rPr>
      </w:pPr>
      <w:r>
        <w:rPr>
          <w:sz w:val="28"/>
          <w:szCs w:val="28"/>
        </w:rPr>
        <w:t xml:space="preserve">6. Развитие курортно-туристского комплекса. </w:t>
      </w:r>
    </w:p>
    <w:p>
      <w:pPr>
        <w:ind w:firstLine="709"/>
        <w:jc w:val="both"/>
        <w:rPr>
          <w:sz w:val="28"/>
          <w:szCs w:val="28"/>
        </w:rPr>
      </w:pPr>
      <w:r>
        <w:rPr>
          <w:sz w:val="28"/>
          <w:szCs w:val="28"/>
        </w:rPr>
        <w:t xml:space="preserve">Объем услуг, оказанных крупными и средними организациями курортно-туристского комплекса по итогам января-</w:t>
      </w:r>
      <w:r>
        <w:rPr>
          <w:sz w:val="28"/>
          <w:szCs w:val="28"/>
        </w:rPr>
        <w:t xml:space="preserve">мая</w:t>
      </w:r>
      <w:r>
        <w:rPr>
          <w:sz w:val="28"/>
          <w:szCs w:val="28"/>
        </w:rPr>
        <w:t xml:space="preserve"> 2024 года составил </w:t>
      </w:r>
      <w:r>
        <w:rPr>
          <w:sz w:val="28"/>
          <w:szCs w:val="28"/>
        </w:rPr>
        <w:t xml:space="preserve">1358,8</w:t>
      </w:r>
      <w:r>
        <w:rPr>
          <w:sz w:val="28"/>
          <w:szCs w:val="28"/>
        </w:rPr>
        <w:t xml:space="preserve"> миллиона рублей, что выше аналогичного периода прошлого года на </w:t>
      </w:r>
      <w:r>
        <w:rPr>
          <w:sz w:val="28"/>
          <w:szCs w:val="28"/>
        </w:rPr>
        <w:t xml:space="preserve">497,5</w:t>
      </w:r>
      <w:r>
        <w:rPr>
          <w:sz w:val="28"/>
          <w:szCs w:val="28"/>
        </w:rPr>
        <w:t xml:space="preserve"> миллиона рублей, или в 1,</w:t>
      </w:r>
      <w:r>
        <w:rPr>
          <w:sz w:val="28"/>
          <w:szCs w:val="28"/>
        </w:rPr>
        <w:t xml:space="preserve">5</w:t>
      </w:r>
      <w:r>
        <w:rPr>
          <w:sz w:val="28"/>
          <w:szCs w:val="28"/>
        </w:rPr>
        <w:t xml:space="preserve"> раза</w:t>
      </w:r>
      <w:r>
        <w:rPr>
          <w:sz w:val="28"/>
          <w:szCs w:val="28"/>
        </w:rPr>
        <w:t xml:space="preserve">.</w:t>
      </w:r>
      <w:r>
        <w:rPr>
          <w:sz w:val="28"/>
          <w:szCs w:val="28"/>
        </w:rPr>
        <w:t xml:space="preserve"> </w:t>
      </w:r>
    </w:p>
    <w:p>
      <w:pPr>
        <w:ind w:firstLine="709"/>
        <w:jc w:val="both"/>
        <w:rPr>
          <w:sz w:val="28"/>
          <w:szCs w:val="28"/>
        </w:rPr>
      </w:pPr>
    </w:p>
    <w:p>
      <w:pPr>
        <w:tabs>
          <w:tab w:val="left" w:pos="627"/>
        </w:tabs>
        <w:ind w:firstLine="709"/>
        <w:jc w:val="both"/>
        <w:rPr>
          <w:sz w:val="28"/>
          <w:szCs w:val="28"/>
        </w:rPr>
      </w:pPr>
      <w:r>
        <w:rPr>
          <w:sz w:val="28"/>
          <w:szCs w:val="28"/>
        </w:rPr>
        <w:t xml:space="preserve">7</w:t>
      </w:r>
      <w:r>
        <w:rPr>
          <w:sz w:val="28"/>
          <w:szCs w:val="28"/>
        </w:rPr>
        <w:t xml:space="preserve">. Уровень жизни населения. </w:t>
      </w:r>
    </w:p>
    <w:p>
      <w:pPr>
        <w:ind w:firstLine="709"/>
        <w:jc w:val="both"/>
        <w:rPr>
          <w:rFonts w:eastAsia="Calibri"/>
          <w:sz w:val="28"/>
          <w:szCs w:val="28"/>
          <w:lang w:eastAsia="en-US"/>
        </w:rPr>
      </w:pPr>
      <w:r>
        <w:rPr>
          <w:rFonts w:eastAsia="Calibri"/>
          <w:color w:val="000000"/>
          <w:sz w:val="28"/>
          <w:szCs w:val="28"/>
          <w:lang w:eastAsia="en-US"/>
        </w:rPr>
        <w:t xml:space="preserve">Важнейшим показателем благосостояния общества служит уровень доходов населения. </w:t>
      </w:r>
      <w:r>
        <w:rPr>
          <w:rFonts w:eastAsia="Calibri"/>
          <w:sz w:val="28"/>
          <w:szCs w:val="28"/>
          <w:lang w:eastAsia="en-US"/>
        </w:rPr>
        <w:t xml:space="preserve">В структуре доходов </w:t>
      </w:r>
      <w:r>
        <w:rPr>
          <w:rFonts w:eastAsia="Calibri"/>
          <w:color w:val="222222"/>
          <w:sz w:val="28"/>
          <w:szCs w:val="28"/>
          <w:lang w:eastAsia="en-US"/>
        </w:rPr>
        <w:t xml:space="preserve">заработная плата,</w:t>
      </w:r>
      <w:r>
        <w:rPr>
          <w:rFonts w:eastAsia="Calibri"/>
          <w:sz w:val="28"/>
          <w:szCs w:val="28"/>
          <w:lang w:eastAsia="en-US"/>
        </w:rPr>
        <w:t xml:space="preserve"> по-прежнему,</w:t>
      </w:r>
      <w:r>
        <w:rPr>
          <w:rFonts w:eastAsia="Calibri"/>
          <w:color w:val="222222"/>
          <w:sz w:val="28"/>
          <w:szCs w:val="28"/>
          <w:lang w:eastAsia="en-US"/>
        </w:rPr>
        <w:t xml:space="preserve"> является основным источником доходов населения и одним из показателей уровня жизни, поскольку она должна обеспечивать не только минимальные потребительские расходы семьи, но и решать социальные вопросы. </w:t>
      </w:r>
      <w:r>
        <w:rPr>
          <w:rFonts w:eastAsia="Calibri"/>
          <w:sz w:val="28"/>
          <w:szCs w:val="28"/>
          <w:lang w:eastAsia="en-US"/>
        </w:rPr>
        <w:t xml:space="preserve">Среднемесячная заработная плата в январе-апреле 2024 года на крупных и средних предприятиях города достигла </w:t>
      </w:r>
      <w:r>
        <w:rPr>
          <w:rFonts w:eastAsia="Calibri"/>
          <w:sz w:val="28"/>
          <w:szCs w:val="28"/>
          <w:lang w:eastAsia="en-US"/>
        </w:rPr>
        <w:t xml:space="preserve">84036</w:t>
      </w:r>
      <w:r>
        <w:rPr>
          <w:rFonts w:eastAsia="Calibri"/>
          <w:sz w:val="28"/>
          <w:szCs w:val="28"/>
          <w:lang w:eastAsia="en-US"/>
        </w:rPr>
        <w:t xml:space="preserve"> рубл</w:t>
      </w:r>
      <w:r>
        <w:rPr>
          <w:rFonts w:eastAsia="Calibri"/>
          <w:sz w:val="28"/>
          <w:szCs w:val="28"/>
          <w:lang w:eastAsia="en-US"/>
        </w:rPr>
        <w:t xml:space="preserve">ей</w:t>
      </w:r>
      <w:r>
        <w:rPr>
          <w:rFonts w:eastAsia="Calibri"/>
          <w:sz w:val="28"/>
          <w:szCs w:val="28"/>
          <w:lang w:eastAsia="en-US"/>
        </w:rPr>
        <w:t xml:space="preserve"> и увеличилась по сравнению с аналогичным периодом 2023 года в номинальном исчислении на </w:t>
      </w:r>
      <w:r>
        <w:rPr>
          <w:rFonts w:eastAsia="Calibri"/>
          <w:sz w:val="28"/>
          <w:szCs w:val="28"/>
          <w:lang w:eastAsia="en-US"/>
        </w:rPr>
        <w:t xml:space="preserve">17,2</w:t>
      </w:r>
      <w:r>
        <w:rPr>
          <w:rFonts w:eastAsia="Calibri"/>
          <w:sz w:val="28"/>
          <w:szCs w:val="28"/>
          <w:lang w:eastAsia="en-US"/>
        </w:rPr>
        <w:t xml:space="preserve"> процента, в реальном – на </w:t>
      </w:r>
      <w:r>
        <w:rPr>
          <w:rFonts w:eastAsia="Calibri"/>
          <w:sz w:val="28"/>
          <w:szCs w:val="28"/>
          <w:lang w:eastAsia="en-US"/>
        </w:rPr>
        <w:t xml:space="preserve">8,5</w:t>
      </w:r>
      <w:r>
        <w:rPr>
          <w:rFonts w:eastAsia="Calibri"/>
          <w:sz w:val="28"/>
          <w:szCs w:val="28"/>
          <w:lang w:eastAsia="en-US"/>
        </w:rPr>
        <w:t xml:space="preserve"> процента.</w:t>
      </w:r>
    </w:p>
    <w:p>
      <w:pPr>
        <w:ind w:firstLine="709"/>
        <w:jc w:val="both"/>
        <w:rPr>
          <w:sz w:val="28"/>
          <w:szCs w:val="28"/>
        </w:rPr>
      </w:pPr>
    </w:p>
    <w:p>
      <w:pPr>
        <w:ind w:firstLine="709"/>
        <w:jc w:val="both"/>
        <w:rPr>
          <w:sz w:val="28"/>
          <w:szCs w:val="28"/>
        </w:rPr>
      </w:pPr>
      <w:r>
        <w:rPr>
          <w:sz w:val="28"/>
          <w:szCs w:val="28"/>
        </w:rPr>
        <w:t xml:space="preserve">9. Ситуация на рынке труда. </w:t>
      </w:r>
    </w:p>
    <w:p>
      <w:pPr>
        <w:ind w:firstLine="709"/>
        <w:jc w:val="both"/>
        <w:rPr>
          <w:sz w:val="28"/>
          <w:szCs w:val="28"/>
        </w:rPr>
      </w:pPr>
      <w:r>
        <w:rPr>
          <w:sz w:val="28"/>
          <w:szCs w:val="28"/>
        </w:rPr>
        <w:t xml:space="preserve">Уровень регистрируемой безработицы по состоянию на 01.06.2024 составил 0,1 процента от численности трудоспособного населения, что на 0,2 пункта ниже показателя аналогичного периода 2023 года (на 01.06.2023 – 0,3 процента). </w:t>
      </w:r>
    </w:p>
    <w:p>
      <w:pPr>
        <w:ind w:firstLine="709"/>
        <w:jc w:val="both"/>
        <w:rPr>
          <w:sz w:val="28"/>
          <w:szCs w:val="28"/>
        </w:rPr>
      </w:pPr>
      <w:r>
        <w:rPr>
          <w:sz w:val="28"/>
          <w:szCs w:val="28"/>
        </w:rPr>
        <w:t xml:space="preserve">В январе-мае 2024 года в ГКУ КК «Центр занятости населения города Краснодара» обратилось за содействием в поиске подходящей работы 3634 человека (48,1 процента к уровню января-мая 2023 года), при содействии центра занятости населения трудоустроено – 2281 человек. </w:t>
      </w:r>
    </w:p>
    <w:p>
      <w:pPr>
        <w:ind w:firstLine="709"/>
        <w:jc w:val="both"/>
        <w:rPr>
          <w:sz w:val="28"/>
          <w:szCs w:val="28"/>
        </w:rPr>
      </w:pPr>
      <w:r>
        <w:rPr>
          <w:sz w:val="28"/>
          <w:szCs w:val="28"/>
        </w:rPr>
        <w:t xml:space="preserve">Статус безработного получили 1456 человек, что на 1368 человек или на 48,4 процента меньше показателя января-мая 2023 года. </w:t>
      </w:r>
    </w:p>
    <w:p>
      <w:pPr>
        <w:ind w:firstLine="709"/>
        <w:jc w:val="both"/>
        <w:rPr>
          <w:sz w:val="28"/>
          <w:szCs w:val="28"/>
        </w:rPr>
      </w:pPr>
      <w:r>
        <w:rPr>
          <w:sz w:val="28"/>
          <w:szCs w:val="28"/>
        </w:rPr>
        <w:t xml:space="preserve">По состоянию на 01.06.2024 на учете состоит 1548 человек, обратившихся за содействием в поиске подходящей работы, из них безработных 791 человек (на 01.06.2023 – 2038 человек).</w:t>
      </w:r>
    </w:p>
    <w:p>
      <w:pPr>
        <w:ind w:firstLine="708"/>
        <w:jc w:val="both"/>
        <w:rPr>
          <w:color w:val="000000"/>
          <w:sz w:val="28"/>
          <w:szCs w:val="28"/>
        </w:rPr>
      </w:pPr>
      <w:r>
        <w:rPr>
          <w:sz w:val="28"/>
          <w:szCs w:val="28"/>
        </w:rPr>
        <w:t xml:space="preserve">В январе-мае 2024 года в центр занятости населения поступило 22917 вакансий, что на 4289 вакансий или на 23,0 процента больше, чем в январе-мае 2023 года. </w:t>
      </w:r>
      <w:r>
        <w:rPr>
          <w:color w:val="000000"/>
          <w:sz w:val="28"/>
          <w:szCs w:val="28"/>
        </w:rPr>
        <w:t xml:space="preserve">По состоянию на 01.06.2024 заявленная потребность в работниках составляет 18684 вакансии.</w:t>
      </w:r>
    </w:p>
    <w:p>
      <w:pPr>
        <w:ind w:firstLine="709"/>
        <w:jc w:val="both"/>
        <w:rPr>
          <w:sz w:val="28"/>
          <w:szCs w:val="28"/>
        </w:rPr>
      </w:pPr>
    </w:p>
    <w:sectPr>
      <w:headerReference w:type="default" r:id="rId9"/>
      <w:pgSz w:w="11906" w:h="16838"/>
      <w:pgMar w:top="1134" w:right="567" w:bottom="851" w:left="1701"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Symbol">
    <w:panose1 w:val="05010000000000000000"/>
  </w:font>
  <w:font w:name="Tahoma">
    <w:panose1 w:val="020B0604030504040204"/>
  </w:font>
  <w:font w:name="Verdana">
    <w:panose1 w:val="020B0604030504040204"/>
  </w:font>
  <w:font w:name="Courier New">
    <w:panose1 w:val="02070409020205020404"/>
  </w:font>
  <w:font w:name="Cambria">
    <w:panose1 w:val="02040503050406030204"/>
  </w:font>
  <w:font w:name="Arial">
    <w:panose1 w:val="020B0604020202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b"/>
      <w:framePr w:wrap="auto" w:vAnchor="text" w:hAnchor="margin" w:xAlign="center" w:y="1"/>
      <w:rPr>
        <w:rStyle w:val="aff1"/>
        <w:sz w:val="28"/>
        <w:szCs w:val="28"/>
      </w:rPr>
    </w:pPr>
    <w:r>
      <w:rPr>
        <w:rStyle w:val="aff1"/>
        <w:sz w:val="28"/>
        <w:szCs w:val="28"/>
      </w:rPr>
      <w:fldChar w:fldCharType="begin"/>
    </w:r>
    <w:r>
      <w:rPr>
        <w:rStyle w:val="aff1"/>
        <w:sz w:val="28"/>
        <w:szCs w:val="28"/>
      </w:rPr>
      <w:instrText xml:space="preserve">PAGE  </w:instrText>
    </w:r>
    <w:r>
      <w:rPr>
        <w:rStyle w:val="aff1"/>
        <w:sz w:val="28"/>
        <w:szCs w:val="28"/>
      </w:rPr>
      <w:fldChar w:fldCharType="separate"/>
    </w:r>
    <w:r>
      <w:rPr>
        <w:rStyle w:val="aff1"/>
        <w:sz w:val="28"/>
        <w:szCs w:val="28"/>
      </w:rPr>
      <w:t xml:space="preserve">3</w:t>
    </w:r>
    <w:r>
      <w:rPr>
        <w:rStyle w:val="aff1"/>
        <w:sz w:val="28"/>
        <w:szCs w:val="28"/>
      </w:rPr>
      <w:fldChar w:fldCharType="end"/>
    </w:r>
  </w:p>
  <w:p>
    <w:pPr>
      <w:pStyle w:val="ab"/>
    </w:pPr>
  </w:p>
  <w:p>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A5845DC6">
      <w:start w:val="1"/>
      <w:numFmt w:val="bullet"/>
      <w:lvlText w:val=""/>
      <w:lvlJc w:val="left"/>
      <w:pPr>
        <w:ind w:left="720" w:hanging="360"/>
      </w:pPr>
      <w:rPr>
        <w:rFonts w:ascii="Symbol" w:hAnsi="Symbol"/>
      </w:rPr>
    </w:lvl>
    <w:lvl w:ilvl="1" w:tplc="E50473D6">
      <w:start w:val="1"/>
      <w:numFmt w:val="bullet"/>
      <w:lvlText w:val="o"/>
      <w:lvlJc w:val="left"/>
      <w:pPr>
        <w:ind w:left="1440" w:hanging="360"/>
      </w:pPr>
      <w:rPr>
        <w:rFonts w:ascii="Courier New" w:hAnsi="Courier New" w:cs="Courier New"/>
      </w:rPr>
    </w:lvl>
    <w:lvl w:ilvl="2" w:tplc="73202E04">
      <w:start w:val="1"/>
      <w:numFmt w:val="bullet"/>
      <w:lvlText w:val=""/>
      <w:lvlJc w:val="left"/>
      <w:pPr>
        <w:ind w:left="2160" w:hanging="360"/>
      </w:pPr>
      <w:rPr>
        <w:rFonts w:ascii="Wingdings" w:hAnsi="Wingdings"/>
      </w:rPr>
    </w:lvl>
    <w:lvl w:ilvl="3" w:tplc="BBE6D51E">
      <w:start w:val="1"/>
      <w:numFmt w:val="bullet"/>
      <w:lvlText w:val=""/>
      <w:lvlJc w:val="left"/>
      <w:pPr>
        <w:ind w:left="2880" w:hanging="360"/>
      </w:pPr>
      <w:rPr>
        <w:rFonts w:ascii="Symbol" w:hAnsi="Symbol"/>
      </w:rPr>
    </w:lvl>
    <w:lvl w:ilvl="4" w:tplc="7B340B84">
      <w:start w:val="1"/>
      <w:numFmt w:val="bullet"/>
      <w:lvlText w:val="o"/>
      <w:lvlJc w:val="left"/>
      <w:pPr>
        <w:ind w:left="3600" w:hanging="360"/>
      </w:pPr>
      <w:rPr>
        <w:rFonts w:ascii="Courier New" w:hAnsi="Courier New" w:cs="Courier New"/>
      </w:rPr>
    </w:lvl>
    <w:lvl w:ilvl="5" w:tplc="3768F7FA">
      <w:start w:val="1"/>
      <w:numFmt w:val="bullet"/>
      <w:lvlText w:val=""/>
      <w:lvlJc w:val="left"/>
      <w:pPr>
        <w:ind w:left="4320" w:hanging="360"/>
      </w:pPr>
      <w:rPr>
        <w:rFonts w:ascii="Wingdings" w:hAnsi="Wingdings"/>
      </w:rPr>
    </w:lvl>
    <w:lvl w:ilvl="6" w:tplc="DEC81A86">
      <w:start w:val="1"/>
      <w:numFmt w:val="bullet"/>
      <w:lvlText w:val=""/>
      <w:lvlJc w:val="left"/>
      <w:pPr>
        <w:ind w:left="5040" w:hanging="360"/>
      </w:pPr>
      <w:rPr>
        <w:rFonts w:ascii="Symbol" w:hAnsi="Symbol"/>
      </w:rPr>
    </w:lvl>
    <w:lvl w:ilvl="7" w:tplc="0992824E">
      <w:start w:val="1"/>
      <w:numFmt w:val="bullet"/>
      <w:lvlText w:val="o"/>
      <w:lvlJc w:val="left"/>
      <w:pPr>
        <w:ind w:left="5760" w:hanging="360"/>
      </w:pPr>
      <w:rPr>
        <w:rFonts w:ascii="Courier New" w:hAnsi="Courier New" w:cs="Courier New"/>
      </w:rPr>
    </w:lvl>
    <w:lvl w:ilvl="8" w:tplc="7C36A18A">
      <w:start w:val="1"/>
      <w:numFmt w:val="bullet"/>
      <w:lvlText w:val=""/>
      <w:lvlJc w:val="left"/>
      <w:pPr>
        <w:ind w:left="6480" w:hanging="360"/>
      </w:pPr>
      <w:rPr>
        <w:rFonts w:ascii="Wingdings" w:hAnsi="Wingdings"/>
      </w:rPr>
    </w:lvl>
  </w:abstractNum>
  <w:abstractNum w:abstractNumId="1">
    <w:multiLevelType w:val="hybridMultilevel"/>
    <w:lvl w:ilvl="0" w:tplc="A8400BB8">
      <w:start w:val="1"/>
      <w:numFmt w:val="decimal"/>
      <w:lvlText w:val="%1."/>
      <w:lvlJc w:val="left"/>
      <w:pPr>
        <w:ind w:left="928" w:hanging="360"/>
      </w:pPr>
    </w:lvl>
    <w:lvl w:ilvl="1" w:tplc="07606F80">
      <w:start w:val="1"/>
      <w:numFmt w:val="lowerLetter"/>
      <w:lvlText w:val="%2."/>
      <w:lvlJc w:val="left"/>
      <w:pPr>
        <w:ind w:left="1648" w:hanging="360"/>
      </w:pPr>
    </w:lvl>
    <w:lvl w:ilvl="2" w:tplc="125A465C">
      <w:start w:val="1"/>
      <w:numFmt w:val="lowerRoman"/>
      <w:lvlText w:val="%3."/>
      <w:lvlJc w:val="right"/>
      <w:pPr>
        <w:ind w:left="2368" w:hanging="180"/>
      </w:pPr>
    </w:lvl>
    <w:lvl w:ilvl="3" w:tplc="9C6699A0">
      <w:start w:val="1"/>
      <w:numFmt w:val="decimal"/>
      <w:lvlText w:val="%4."/>
      <w:lvlJc w:val="left"/>
      <w:pPr>
        <w:ind w:left="3088" w:hanging="360"/>
      </w:pPr>
    </w:lvl>
    <w:lvl w:ilvl="4" w:tplc="277C48E6">
      <w:start w:val="1"/>
      <w:numFmt w:val="lowerLetter"/>
      <w:lvlText w:val="%5."/>
      <w:lvlJc w:val="left"/>
      <w:pPr>
        <w:ind w:left="3808" w:hanging="360"/>
      </w:pPr>
    </w:lvl>
    <w:lvl w:ilvl="5" w:tplc="11BE03EC">
      <w:start w:val="1"/>
      <w:numFmt w:val="lowerRoman"/>
      <w:lvlText w:val="%6."/>
      <w:lvlJc w:val="right"/>
      <w:pPr>
        <w:ind w:left="4528" w:hanging="180"/>
      </w:pPr>
    </w:lvl>
    <w:lvl w:ilvl="6" w:tplc="E18067A4">
      <w:start w:val="1"/>
      <w:numFmt w:val="decimal"/>
      <w:lvlText w:val="%7."/>
      <w:lvlJc w:val="left"/>
      <w:pPr>
        <w:ind w:left="5248" w:hanging="360"/>
      </w:pPr>
    </w:lvl>
    <w:lvl w:ilvl="7" w:tplc="647AFEDE">
      <w:start w:val="1"/>
      <w:numFmt w:val="lowerLetter"/>
      <w:lvlText w:val="%8."/>
      <w:lvlJc w:val="left"/>
      <w:pPr>
        <w:ind w:left="5968" w:hanging="360"/>
      </w:pPr>
    </w:lvl>
    <w:lvl w:ilvl="8" w:tplc="44FAA048">
      <w:start w:val="1"/>
      <w:numFmt w:val="lowerRoman"/>
      <w:lvlText w:val="%9."/>
      <w:lvlJc w:val="right"/>
      <w:pPr>
        <w:ind w:left="6688" w:hanging="180"/>
      </w:pPr>
    </w:lvl>
  </w:abstractNum>
  <w:abstractNum w:abstractNumId="2">
    <w:multiLevelType w:val="hybridMultilevel"/>
    <w:lvl w:ilvl="0" w:tplc="46AA6F22">
      <w:start w:val="1"/>
      <w:numFmt w:val="bullet"/>
      <w:lvlText w:val=""/>
      <w:lvlJc w:val="left"/>
      <w:pPr>
        <w:ind w:left="786" w:hanging="360"/>
      </w:pPr>
      <w:rPr>
        <w:rFonts w:ascii="Symbol" w:hAnsi="Symbol"/>
      </w:rPr>
    </w:lvl>
    <w:lvl w:ilvl="1" w:tplc="E1AC40E6">
      <w:start w:val="1"/>
      <w:numFmt w:val="bullet"/>
      <w:lvlText w:val="o"/>
      <w:lvlJc w:val="left"/>
      <w:pPr>
        <w:ind w:left="2148" w:hanging="360"/>
      </w:pPr>
      <w:rPr>
        <w:rFonts w:ascii="Courier New" w:hAnsi="Courier New" w:cs="Courier New"/>
      </w:rPr>
    </w:lvl>
    <w:lvl w:ilvl="2" w:tplc="44EA110E">
      <w:start w:val="1"/>
      <w:numFmt w:val="bullet"/>
      <w:lvlText w:val=""/>
      <w:lvlJc w:val="left"/>
      <w:pPr>
        <w:ind w:left="2868" w:hanging="360"/>
      </w:pPr>
      <w:rPr>
        <w:rFonts w:ascii="Wingdings" w:hAnsi="Wingdings"/>
      </w:rPr>
    </w:lvl>
    <w:lvl w:ilvl="3" w:tplc="A0D0D584">
      <w:start w:val="1"/>
      <w:numFmt w:val="bullet"/>
      <w:lvlText w:val=""/>
      <w:lvlJc w:val="left"/>
      <w:pPr>
        <w:ind w:left="3588" w:hanging="360"/>
      </w:pPr>
      <w:rPr>
        <w:rFonts w:ascii="Symbol" w:hAnsi="Symbol"/>
      </w:rPr>
    </w:lvl>
    <w:lvl w:ilvl="4" w:tplc="AC92EA4E">
      <w:start w:val="1"/>
      <w:numFmt w:val="bullet"/>
      <w:lvlText w:val="o"/>
      <w:lvlJc w:val="left"/>
      <w:pPr>
        <w:ind w:left="4308" w:hanging="360"/>
      </w:pPr>
      <w:rPr>
        <w:rFonts w:ascii="Courier New" w:hAnsi="Courier New" w:cs="Courier New"/>
      </w:rPr>
    </w:lvl>
    <w:lvl w:ilvl="5" w:tplc="748ED404">
      <w:start w:val="1"/>
      <w:numFmt w:val="bullet"/>
      <w:lvlText w:val=""/>
      <w:lvlJc w:val="left"/>
      <w:pPr>
        <w:ind w:left="5028" w:hanging="360"/>
      </w:pPr>
      <w:rPr>
        <w:rFonts w:ascii="Wingdings" w:hAnsi="Wingdings"/>
      </w:rPr>
    </w:lvl>
    <w:lvl w:ilvl="6" w:tplc="20A6F138">
      <w:start w:val="1"/>
      <w:numFmt w:val="bullet"/>
      <w:lvlText w:val=""/>
      <w:lvlJc w:val="left"/>
      <w:pPr>
        <w:ind w:left="5748" w:hanging="360"/>
      </w:pPr>
      <w:rPr>
        <w:rFonts w:ascii="Symbol" w:hAnsi="Symbol"/>
      </w:rPr>
    </w:lvl>
    <w:lvl w:ilvl="7" w:tplc="9DD0C372">
      <w:start w:val="1"/>
      <w:numFmt w:val="bullet"/>
      <w:lvlText w:val="o"/>
      <w:lvlJc w:val="left"/>
      <w:pPr>
        <w:ind w:left="6468" w:hanging="360"/>
      </w:pPr>
      <w:rPr>
        <w:rFonts w:ascii="Courier New" w:hAnsi="Courier New" w:cs="Courier New"/>
      </w:rPr>
    </w:lvl>
    <w:lvl w:ilvl="8" w:tplc="7D828248">
      <w:start w:val="1"/>
      <w:numFmt w:val="bullet"/>
      <w:lvlText w:val=""/>
      <w:lvlJc w:val="left"/>
      <w:pPr>
        <w:ind w:left="7188" w:hanging="360"/>
      </w:pPr>
      <w:rPr>
        <w:rFonts w:ascii="Wingdings" w:hAnsi="Wingdings"/>
      </w:rPr>
    </w:lvl>
  </w:abstractNum>
  <w:abstractNum w:abstractNumId="3">
    <w:multiLevelType w:val="hybridMultilevel"/>
    <w:lvl w:ilvl="0" w:tplc="E250A9CE">
      <w:start w:val="1"/>
      <w:numFmt w:val="decimal"/>
      <w:lvlText w:val="%1."/>
      <w:lvlJc w:val="left"/>
      <w:pPr>
        <w:ind w:left="1069" w:hanging="360"/>
      </w:pPr>
    </w:lvl>
    <w:lvl w:ilvl="1" w:tplc="C7F6B536">
      <w:start w:val="1"/>
      <w:numFmt w:val="lowerLetter"/>
      <w:lvlText w:val="%2."/>
      <w:lvlJc w:val="left"/>
      <w:pPr>
        <w:ind w:left="1789" w:hanging="360"/>
      </w:pPr>
    </w:lvl>
    <w:lvl w:ilvl="2" w:tplc="66A89A12">
      <w:start w:val="1"/>
      <w:numFmt w:val="lowerRoman"/>
      <w:lvlText w:val="%3."/>
      <w:lvlJc w:val="right"/>
      <w:pPr>
        <w:ind w:left="2509" w:hanging="180"/>
      </w:pPr>
    </w:lvl>
    <w:lvl w:ilvl="3" w:tplc="0BA2AF5E">
      <w:start w:val="1"/>
      <w:numFmt w:val="decimal"/>
      <w:lvlText w:val="%4."/>
      <w:lvlJc w:val="left"/>
      <w:pPr>
        <w:ind w:left="3229" w:hanging="360"/>
      </w:pPr>
    </w:lvl>
    <w:lvl w:ilvl="4" w:tplc="3E582B3E">
      <w:start w:val="1"/>
      <w:numFmt w:val="lowerLetter"/>
      <w:lvlText w:val="%5."/>
      <w:lvlJc w:val="left"/>
      <w:pPr>
        <w:ind w:left="3949" w:hanging="360"/>
      </w:pPr>
    </w:lvl>
    <w:lvl w:ilvl="5" w:tplc="4FB42FD4">
      <w:start w:val="1"/>
      <w:numFmt w:val="lowerRoman"/>
      <w:lvlText w:val="%6."/>
      <w:lvlJc w:val="right"/>
      <w:pPr>
        <w:ind w:left="4669" w:hanging="180"/>
      </w:pPr>
    </w:lvl>
    <w:lvl w:ilvl="6" w:tplc="625836F4">
      <w:start w:val="1"/>
      <w:numFmt w:val="decimal"/>
      <w:lvlText w:val="%7."/>
      <w:lvlJc w:val="left"/>
      <w:pPr>
        <w:ind w:left="5389" w:hanging="360"/>
      </w:pPr>
    </w:lvl>
    <w:lvl w:ilvl="7" w:tplc="BEB47678">
      <w:start w:val="1"/>
      <w:numFmt w:val="lowerLetter"/>
      <w:lvlText w:val="%8."/>
      <w:lvlJc w:val="left"/>
      <w:pPr>
        <w:ind w:left="6109" w:hanging="360"/>
      </w:pPr>
    </w:lvl>
    <w:lvl w:ilvl="8" w:tplc="4E384EAC">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lang w:eastAsia="ru-RU"/>
    </w:rPr>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link w:val="1"/>
    <w:uiPriority w:val="9"/>
    <w:rPr>
      <w:rFonts w:ascii="Arial" w:hAnsi="Arial" w:eastAsia="Arial" w:cs="Arial"/>
      <w:sz w:val="40"/>
      <w:szCs w:val="40"/>
    </w:rPr>
  </w:style>
  <w:style w:type="character" w:styleId="20" w:customStyle="1">
    <w:name w:val="Заголовок 2 Знак"/>
    <w:link w:val="2"/>
    <w:uiPriority w:val="9"/>
    <w:rPr>
      <w:rFonts w:ascii="Arial" w:hAnsi="Arial" w:eastAsia="Arial" w:cs="Arial"/>
      <w:sz w:val="34"/>
    </w:rPr>
  </w:style>
  <w:style w:type="character" w:styleId="30" w:customStyle="1">
    <w:name w:val="Заголовок 3 Знак"/>
    <w:link w:val="3"/>
    <w:uiPriority w:val="9"/>
    <w:rPr>
      <w:rFonts w:ascii="Arial" w:hAnsi="Arial" w:eastAsia="Arial" w:cs="Arial"/>
      <w:sz w:val="30"/>
      <w:szCs w:val="30"/>
    </w:rPr>
  </w:style>
  <w:style w:type="character" w:styleId="40" w:customStyle="1">
    <w:name w:val="Заголовок 4 Знак"/>
    <w:link w:val="4"/>
    <w:uiPriority w:val="9"/>
    <w:rPr>
      <w:rFonts w:ascii="Arial" w:hAnsi="Arial" w:eastAsia="Arial" w:cs="Arial"/>
      <w:b/>
      <w:bCs/>
      <w:sz w:val="26"/>
      <w:szCs w:val="26"/>
    </w:rPr>
  </w:style>
  <w:style w:type="character" w:styleId="50" w:customStyle="1">
    <w:name w:val="Заголовок 5 Знак"/>
    <w:link w:val="5"/>
    <w:uiPriority w:val="9"/>
    <w:rPr>
      <w:rFonts w:ascii="Arial" w:hAnsi="Arial" w:eastAsia="Arial" w:cs="Arial"/>
      <w:b/>
      <w:bCs/>
      <w:sz w:val="24"/>
      <w:szCs w:val="24"/>
    </w:rPr>
  </w:style>
  <w:style w:type="character" w:styleId="60" w:customStyle="1">
    <w:name w:val="Заголовок 6 Знак"/>
    <w:link w:val="6"/>
    <w:uiPriority w:val="9"/>
    <w:rPr>
      <w:rFonts w:ascii="Arial" w:hAnsi="Arial" w:eastAsia="Arial" w:cs="Arial"/>
      <w:b/>
      <w:bCs/>
      <w:sz w:val="22"/>
      <w:szCs w:val="22"/>
    </w:rPr>
  </w:style>
  <w:style w:type="character" w:styleId="70" w:customStyle="1">
    <w:name w:val="Заголовок 7 Знак"/>
    <w:link w:val="7"/>
    <w:uiPriority w:val="9"/>
    <w:rPr>
      <w:rFonts w:ascii="Arial" w:hAnsi="Arial" w:eastAsia="Arial" w:cs="Arial"/>
      <w:b/>
      <w:bCs/>
      <w:i/>
      <w:iCs/>
      <w:sz w:val="22"/>
      <w:szCs w:val="22"/>
    </w:rPr>
  </w:style>
  <w:style w:type="character" w:styleId="80" w:customStyle="1">
    <w:name w:val="Заголовок 8 Знак"/>
    <w:link w:val="8"/>
    <w:uiPriority w:val="9"/>
    <w:rPr>
      <w:rFonts w:ascii="Arial" w:hAnsi="Arial" w:eastAsia="Arial" w:cs="Arial"/>
      <w:i/>
      <w:iCs/>
      <w:sz w:val="22"/>
      <w:szCs w:val="22"/>
    </w:rPr>
  </w:style>
  <w:style w:type="character" w:styleId="90" w:customStyle="1">
    <w:name w:val="Заголовок 9 Знак"/>
    <w:link w:val="9"/>
    <w:uiPriority w:val="9"/>
    <w:rPr>
      <w:rFonts w:ascii="Arial" w:hAnsi="Arial" w:eastAsia="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styleId="a6" w:customStyle="1">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styleId="a8" w:customStyle="1">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9">
    <w:name w:val="Intense Quote"/>
    <w:basedOn w:val="a"/>
    <w:next w:val="a"/>
    <w:link w:val="a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a" w:customStyle="1">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styleId="HeaderChar" w:customStyle="1">
    <w:name w:val="Header Char"/>
    <w:uiPriority w:val="99"/>
  </w:style>
  <w:style w:type="paragraph" w:styleId="ad">
    <w:name w:val="footer"/>
    <w:basedOn w:val="a"/>
    <w:link w:val="ae"/>
    <w:pPr>
      <w:tabs>
        <w:tab w:val="center" w:pos="4677"/>
        <w:tab w:val="right" w:pos="9355"/>
      </w:tabs>
    </w:pPr>
  </w:style>
  <w:style w:type="character" w:styleId="FooterChar" w:customStyle="1">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styleId="CaptionChar" w:customStyle="1">
    <w:name w:val="Caption Char"/>
    <w:uiPriority w:val="99"/>
  </w:style>
  <w:style w:type="table" w:styleId="af0">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TableGridLight"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1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3">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uiPriority w:val="99"/>
    <w:tblPr>
      <w:tblStyleRowBandSize w:val="1"/>
      <w:tblStyleColBandSize w:val="1"/>
      <w:tblInd w:w="0" w:type="dxa"/>
      <w:tblCellMar>
        <w:left w:w="0" w:type="dxa"/>
        <w:top w:w="0" w:type="dxa"/>
        <w:right w:w="0" w:type="dxa"/>
        <w:bottom w:w="0" w:type="dxa"/>
      </w:tblCellMar>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left w:w="0" w:type="dxa"/>
        <w:top w:w="0" w:type="dxa"/>
        <w:right w:w="0" w:type="dxa"/>
        <w:bottom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left w:w="0" w:type="dxa"/>
        <w:top w:w="0" w:type="dxa"/>
        <w:right w:w="0" w:type="dxa"/>
        <w:bottom w:w="0" w:type="dxa"/>
      </w:tblCellMar>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firstRow">
      <w:rPr>
        <w:b/>
        <w:color w:val="404040"/>
      </w:rPr>
      <w:tcPr>
        <w:tcBorders>
          <w:bottom w:val="single" w:color="97B4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GridTable1Light-Accent2"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GridTable1Light-Accent3"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firstRow">
      <w:rPr>
        <w:b/>
        <w:color w:val="404040"/>
      </w:rPr>
      <w:tcPr>
        <w:tcBorders>
          <w:bottom w:val="single" w:color="C4D79D"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GridTable1Light-Accent4"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GridTable1Light-Accent5"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GridTable1Light-Accent6"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styleId="-2">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2-Accent2"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2-Accent3"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2-Accent4"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2-Accent5"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2-Accent6"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3-Accent2"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3-Accent3"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3-Accent4"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3-Accent5"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3-Accent6"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Row">
      <w:rPr>
        <w:b/>
        <w:color w:val="404040"/>
      </w:rPr>
      <w:tcPr>
        <w:tcBorders>
          <w:top w:val="single" w:color="5D8A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styleId="GridTable4-Accent2"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Row">
      <w:rPr>
        <w:b/>
        <w:color w:val="404040"/>
      </w:rPr>
      <w:tcPr>
        <w:tcBorders>
          <w:top w:val="single" w:color="D996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4-Accent3"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Row">
      <w:rPr>
        <w:b/>
        <w:color w:val="404040"/>
      </w:rPr>
      <w:tcPr>
        <w:tcBorders>
          <w:top w:val="single" w:color="9A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4-Accent4"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4-Accent5"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4-Accent6"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4e0" w:themeColor="accent1" w:themeTint="75" w:fill="aec4e0" w:themeFill="accent1" w:themeFillTint="75"/>
      </w:tcPr>
    </w:tblStylePr>
    <w:tblStylePr w:type="band1Horz">
      <w:tcPr>
        <w:shd w:val="clear" w:color="aec4e0" w:themeColor="accent1" w:themeTint="75" w:fill="aec4e0" w:themeFill="accent1" w:themeFillTint="75"/>
      </w:tcPr>
    </w:tblStylePr>
  </w:style>
  <w:style w:type="table" w:styleId="GridTable5Dark-Accent2"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styleId="GridTable5Dark-Accent3"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0dfb2" w:themeColor="accent3" w:themeTint="75" w:fill="d0dfb2" w:themeFill="accent3" w:themeFillTint="75"/>
      </w:tcPr>
    </w:tblStylePr>
    <w:tblStylePr w:type="band1Horz">
      <w:tcPr>
        <w:shd w:val="clear" w:color="d0dfb2" w:themeColor="accent3" w:themeTint="75" w:fill="d0dfb2" w:themeFill="accent3" w:themeFillTint="75"/>
      </w:tcPr>
    </w:tblStylePr>
  </w:style>
  <w:style w:type="table" w:styleId="GridTable5Dark-Accent4"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styleId="GridTable5Dark-Accent5"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styleId="GridTable5Dark-Accent6"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firstRow">
      <w:rPr>
        <w:b/>
        <w:color w:val="a6bfdd" w:themeColor="accent1" w:themeTint="80" w:themeShade="95"/>
      </w:rPr>
      <w:tcPr>
        <w:tcBorders>
          <w:bottom w:val="single" w:color="A6BFDD" w:themeColor="accent1" w:themeTint="80"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firstRow">
      <w:rPr>
        <w:b/>
        <w:color w:val="d99695" w:themeColor="accent2" w:themeTint="97" w:themeShade="95"/>
      </w:rPr>
      <w:tcPr>
        <w:tcBorders>
          <w:bottom w:val="single" w:color="D99695" w:themeColor="accent2" w:themeTint="97"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firstRow">
      <w:rPr>
        <w:b/>
        <w:color w:val="9abb59" w:themeColor="accent3" w:themeTint="FE" w:themeShade="95"/>
      </w:rPr>
      <w:tcPr>
        <w:tcBorders>
          <w:bottom w:val="single" w:color="9ABB59" w:themeColor="accent3" w:themeTint="FE"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firstRow">
      <w:rPr>
        <w:b/>
        <w:color w:val="b2a1c6" w:themeColor="accent4" w:themeTint="9A" w:themeShade="95"/>
      </w:rPr>
      <w:tcPr>
        <w:tcBorders>
          <w:bottom w:val="single" w:color="B2A1C6" w:themeColor="accent4" w:themeTint="9A"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8" w:themeColor="accent6" w:themeTint="34" w:fill="fde9d8" w:themeFill="accent6" w:themeFillTint="34"/>
      </w:tcPr>
    </w:tblStyle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firstRow">
      <w:rPr>
        <w:rFonts w:ascii="Arial" w:hAnsi="Arial"/>
        <w:b/>
        <w:color w:val="a6bfdd" w:themeColor="accent1" w:themeTint="80" w:themeShade="95"/>
        <w:sz w:val="22"/>
      </w:rPr>
      <w:tcPr>
        <w:tcBorders>
          <w:top w:val="none" w:color="auto" w:sz="0" w:space="0"/>
          <w:left w:val="none" w:color="auto" w:sz="0" w:space="0"/>
          <w:bottom w:val="single" w:color="A6BFDD" w:themeColor="accent1" w:themeTint="80" w:sz="4" w:space="0"/>
          <w:right w:val="none" w:color="auto" w:sz="0" w:space="0"/>
        </w:tcBorders>
        <w:shd w:val="clear" w:color="ffffff" w:themeColor="light1" w:fill="ffffff" w:themeFill="light1"/>
      </w:tcPr>
    </w:tblStylePr>
    <w:tblStylePr w:type="lastRow">
      <w:rPr>
        <w:rFonts w:ascii="Arial" w:hAnsi="Arial"/>
        <w:b/>
        <w:color w:val="a6bfdd" w:themeColor="accent1" w:themeTint="80" w:themeShade="95"/>
        <w:sz w:val="22"/>
      </w:rPr>
      <w:tcPr>
        <w:tcBorders>
          <w:top w:val="single" w:color="A6BFDD"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6bfdd" w:themeColor="accent1" w:themeTint="80" w:themeShade="95"/>
        <w:sz w:val="22"/>
      </w:rPr>
      <w:pPr>
        <w:jc w:val="right"/>
      </w:pPr>
      <w:tcPr>
        <w:tcBorders>
          <w:top w:val="none" w:color="auto" w:sz="0" w:space="0"/>
          <w:left w:val="none" w:color="auto" w:sz="0" w:space="0"/>
          <w:bottom w:val="none" w:color="auto" w:sz="0" w:space="0"/>
          <w:right w:val="single" w:color="A6BFDD" w:themeColor="accent1" w:themeTint="80" w:sz="4" w:space="0"/>
        </w:tcBorders>
        <w:shd w:val="clear" w:color="ffffff" w:fill="auto"/>
      </w:tcPr>
    </w:tblStylePr>
    <w:tblStylePr w:type="lastCol">
      <w:rPr>
        <w:rFonts w:ascii="Arial" w:hAnsi="Arial"/>
        <w:i/>
        <w:color w:val="a6bfdd" w:themeColor="accent1" w:themeTint="80" w:themeShade="95"/>
        <w:sz w:val="22"/>
      </w:rPr>
      <w:tcPr>
        <w:tcBorders>
          <w:top w:val="none" w:color="auto" w:sz="0" w:space="0"/>
          <w:left w:val="single" w:color="A6BFDD" w:themeColor="accent1" w:themeTint="80" w:sz="4" w:space="0"/>
          <w:bottom w:val="none" w:color="auto" w:sz="0" w:space="0"/>
          <w:right w:val="none" w:color="auto" w:sz="0" w:space="0"/>
        </w:tcBorders>
        <w:shd w:val="clear" w:color="ffffff" w:fill="auto"/>
      </w:tc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firstRow">
      <w:rPr>
        <w:rFonts w:ascii="Arial" w:hAnsi="Arial"/>
        <w:b/>
        <w:color w:val="d99695" w:themeColor="accent2" w:themeTint="97" w:themeShade="95"/>
        <w:sz w:val="22"/>
      </w:rPr>
      <w:tcPr>
        <w:tcBorders>
          <w:top w:val="none" w:color="auto" w:sz="0" w:space="0"/>
          <w:left w:val="none" w:color="auto" w:sz="0" w:space="0"/>
          <w:bottom w:val="single" w:color="D99695" w:themeColor="accent2" w:themeTint="97" w:sz="4" w:space="0"/>
          <w:right w:val="none" w:color="auto" w:sz="0" w:space="0"/>
        </w:tcBorders>
        <w:shd w:val="clear" w:color="ffffff" w:themeColor="light1" w:fill="ffffff" w:themeFill="light1"/>
      </w:tcPr>
    </w:tblStylePr>
    <w:tblStylePr w:type="lastRow">
      <w:rPr>
        <w:rFonts w:ascii="Arial" w:hAnsi="Arial"/>
        <w:b/>
        <w:color w:val="d99695" w:themeColor="accent2" w:themeTint="97" w:themeShade="95"/>
        <w:sz w:val="22"/>
      </w:rPr>
      <w:tcPr>
        <w:tcBorders>
          <w:top w:val="single" w:color="D99695"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auto" w:sz="0" w:space="0"/>
          <w:left w:val="none" w:color="auto" w:sz="0" w:space="0"/>
          <w:bottom w:val="none" w:color="auto" w:sz="0"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auto" w:sz="0" w:space="0"/>
          <w:left w:val="single" w:color="D99695" w:themeColor="accent2" w:themeTint="97" w:sz="4" w:space="0"/>
          <w:bottom w:val="none" w:color="auto" w:sz="0" w:space="0"/>
          <w:right w:val="none" w:color="auto" w:sz="0" w:space="0"/>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firstRow">
      <w:rPr>
        <w:rFonts w:ascii="Arial" w:hAnsi="Arial"/>
        <w:b/>
        <w:color w:val="9abb59" w:themeColor="accent3" w:themeTint="FE" w:themeShade="95"/>
        <w:sz w:val="22"/>
      </w:rPr>
      <w:tcPr>
        <w:tcBorders>
          <w:top w:val="none" w:color="auto" w:sz="0" w:space="0"/>
          <w:left w:val="none" w:color="auto" w:sz="0" w:space="0"/>
          <w:bottom w:val="single" w:color="9ABB59" w:themeColor="accent3" w:themeTint="FE" w:sz="4" w:space="0"/>
          <w:right w:val="none" w:color="auto" w:sz="0" w:space="0"/>
        </w:tcBorders>
        <w:shd w:val="clear" w:color="ffffff" w:themeColor="light1" w:fill="ffffff" w:themeFill="light1"/>
      </w:tcPr>
    </w:tblStylePr>
    <w:tblStylePr w:type="lastRow">
      <w:rPr>
        <w:rFonts w:ascii="Arial" w:hAnsi="Arial"/>
        <w:b/>
        <w:color w:val="9abb59" w:themeColor="accent3" w:themeTint="FE" w:themeShade="95"/>
        <w:sz w:val="22"/>
      </w:rPr>
      <w:tcPr>
        <w:tcBorders>
          <w:top w:val="single" w:color="9ABB59"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9abb59" w:themeColor="accent3" w:themeTint="FE" w:themeShade="95"/>
        <w:sz w:val="22"/>
      </w:rPr>
      <w:pPr>
        <w:jc w:val="right"/>
      </w:pPr>
      <w:tcPr>
        <w:tcBorders>
          <w:top w:val="none" w:color="auto" w:sz="0" w:space="0"/>
          <w:left w:val="none" w:color="auto" w:sz="0" w:space="0"/>
          <w:bottom w:val="none" w:color="auto" w:sz="0" w:space="0"/>
          <w:right w:val="single" w:color="9ABB59" w:themeColor="accent3" w:themeTint="FE" w:sz="4" w:space="0"/>
        </w:tcBorders>
        <w:shd w:val="clear" w:color="ffffff" w:fill="auto"/>
      </w:tcPr>
    </w:tblStylePr>
    <w:tblStylePr w:type="lastCol">
      <w:rPr>
        <w:rFonts w:ascii="Arial" w:hAnsi="Arial"/>
        <w:i/>
        <w:color w:val="9abb59" w:themeColor="accent3" w:themeTint="FE" w:themeShade="95"/>
        <w:sz w:val="22"/>
      </w:rPr>
      <w:tcPr>
        <w:tcBorders>
          <w:top w:val="none" w:color="auto" w:sz="0" w:space="0"/>
          <w:left w:val="single" w:color="9ABB59" w:themeColor="accent3" w:themeTint="FE" w:sz="4" w:space="0"/>
          <w:bottom w:val="none" w:color="auto" w:sz="0" w:space="0"/>
          <w:right w:val="none" w:color="auto" w:sz="0" w:space="0"/>
        </w:tcBorders>
        <w:shd w:val="clear" w:color="ffffff" w:fill="auto"/>
      </w:tc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firstRow">
      <w:rPr>
        <w:rFonts w:ascii="Arial" w:hAnsi="Arial"/>
        <w:b/>
        <w:color w:val="b2a1c6" w:themeColor="accent4" w:themeTint="9A" w:themeShade="95"/>
        <w:sz w:val="22"/>
      </w:rPr>
      <w:tcPr>
        <w:tcBorders>
          <w:top w:val="none" w:color="auto" w:sz="0" w:space="0"/>
          <w:left w:val="none" w:color="auto" w:sz="0" w:space="0"/>
          <w:bottom w:val="single" w:color="B2A1C6" w:themeColor="accent4" w:themeTint="9A" w:sz="4" w:space="0"/>
          <w:right w:val="none" w:color="auto" w:sz="0" w:space="0"/>
        </w:tcBorders>
        <w:shd w:val="clear" w:color="ffffff" w:themeColor="light1" w:fill="ffffff" w:themeFill="light1"/>
      </w:tcPr>
    </w:tblStylePr>
    <w:tblStylePr w:type="lastRow">
      <w:rPr>
        <w:rFonts w:ascii="Arial" w:hAnsi="Arial"/>
        <w:b/>
        <w:color w:val="b2a1c6" w:themeColor="accent4" w:themeTint="9A" w:themeShade="95"/>
        <w:sz w:val="22"/>
      </w:rPr>
      <w:tcPr>
        <w:tcBorders>
          <w:top w:val="single" w:color="B2A1C6"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auto" w:sz="0" w:space="0"/>
          <w:left w:val="none" w:color="auto" w:sz="0" w:space="0"/>
          <w:bottom w:val="none" w:color="auto" w:sz="0"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auto" w:sz="0" w:space="0"/>
          <w:left w:val="single" w:color="B2A1C6" w:themeColor="accent4" w:themeTint="9A" w:sz="4" w:space="0"/>
          <w:bottom w:val="none" w:color="auto" w:sz="0" w:space="0"/>
          <w:right w:val="none" w:color="auto" w:sz="0" w:space="0"/>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firstRow">
      <w:rPr>
        <w:rFonts w:ascii="Arial" w:hAnsi="Arial"/>
        <w:b/>
        <w:color w:val="266779" w:themeColor="accent5" w:themeShade="95"/>
        <w:sz w:val="22"/>
      </w:rPr>
      <w:tcPr>
        <w:tcBorders>
          <w:top w:val="none" w:color="auto" w:sz="0" w:space="0"/>
          <w:left w:val="none" w:color="auto" w:sz="0" w:space="0"/>
          <w:bottom w:val="single" w:color="99D0DE" w:themeColor="accent5" w:themeTint="90" w:sz="4" w:space="0"/>
          <w:right w:val="none" w:color="auto" w:sz="0" w:space="0"/>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66779" w:themeColor="accent5" w:themeShade="95"/>
        <w:sz w:val="22"/>
      </w:rPr>
      <w:pPr>
        <w:jc w:val="right"/>
      </w:pPr>
      <w:tcPr>
        <w:tcBorders>
          <w:top w:val="none" w:color="auto" w:sz="0" w:space="0"/>
          <w:left w:val="none" w:color="auto" w:sz="0" w:space="0"/>
          <w:bottom w:val="none" w:color="auto" w:sz="0" w:space="0"/>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one" w:color="auto" w:sz="0" w:space="0"/>
          <w:left w:val="single" w:color="99D0DE" w:themeColor="accent5" w:themeTint="90" w:sz="4" w:space="0"/>
          <w:bottom w:val="none" w:color="auto" w:sz="0" w:space="0"/>
          <w:right w:val="none" w:color="auto" w:sz="0" w:space="0"/>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firstRow">
      <w:rPr>
        <w:rFonts w:ascii="Arial" w:hAnsi="Arial"/>
        <w:b/>
        <w:color w:val="b15407" w:themeColor="accent6" w:themeShade="95"/>
        <w:sz w:val="22"/>
      </w:rPr>
      <w:tcPr>
        <w:tcBorders>
          <w:top w:val="none" w:color="auto" w:sz="0" w:space="0"/>
          <w:left w:val="none" w:color="auto" w:sz="0" w:space="0"/>
          <w:bottom w:val="single" w:color="FAC396" w:themeColor="accent6" w:themeTint="90" w:sz="4" w:space="0"/>
          <w:right w:val="none" w:color="auto" w:sz="0" w:space="0"/>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b15407" w:themeColor="accent6" w:themeShade="95"/>
        <w:sz w:val="22"/>
      </w:rPr>
      <w:pPr>
        <w:jc w:val="right"/>
      </w:pPr>
      <w:tcPr>
        <w:tcBorders>
          <w:top w:val="none" w:color="auto" w:sz="0" w:space="0"/>
          <w:left w:val="none" w:color="auto" w:sz="0" w:space="0"/>
          <w:bottom w:val="none" w:color="auto" w:sz="0" w:space="0"/>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one" w:color="auto" w:sz="0" w:space="0"/>
          <w:left w:val="single" w:color="FAC396" w:themeColor="accent6" w:themeTint="90" w:sz="4" w:space="0"/>
          <w:bottom w:val="none" w:color="auto" w:sz="0" w:space="0"/>
          <w:right w:val="none" w:color="auto" w:sz="0" w:space="0"/>
        </w:tcBorders>
        <w:shd w:val="clear" w:color="ffffff" w:fill="auto"/>
      </w:tcPr>
    </w:tblStylePr>
    <w:tblStylePr w:type="band1Vert">
      <w:tcPr>
        <w:shd w:val="clear" w:color="fde9d8" w:themeColor="accent6" w:themeTint="34" w:fill="fde9d8" w:themeFill="accent6" w:themeFillTint="34"/>
      </w:tcPr>
    </w:tblStyle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styleId="ListTable1Light-Accent2"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fd2d2" w:themeColor="accent2" w:themeTint="40" w:fill="efd2d2" w:themeFill="accent2" w:themeFillTint="40"/>
      </w:tcPr>
    </w:tblStylePr>
    <w:tblStylePr w:type="band1Horz">
      <w:tcPr>
        <w:shd w:val="clear" w:color="efd2d2" w:themeColor="accent2" w:themeTint="40" w:fill="efd2d2" w:themeFill="accent2" w:themeFillTint="40"/>
      </w:tcPr>
    </w:tblStylePr>
  </w:style>
  <w:style w:type="table" w:styleId="ListTable1Light-Accent3"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5eed5" w:themeColor="accent3" w:themeTint="40" w:fill="e5eed5" w:themeFill="accent3" w:themeFillTint="40"/>
      </w:tcPr>
    </w:tblStylePr>
    <w:tblStylePr w:type="band1Horz">
      <w:tcPr>
        <w:shd w:val="clear" w:color="e5eed5" w:themeColor="accent3" w:themeTint="40" w:fill="e5eed5" w:themeFill="accent3" w:themeFillTint="40"/>
      </w:tcPr>
    </w:tblStylePr>
  </w:style>
  <w:style w:type="table" w:styleId="ListTable1Light-Accent4"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styleId="ListTable1Light-Accent5"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styleId="ListTable1Light-Accent6"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de4d0" w:themeColor="accent6" w:themeTint="40" w:fill="fde4d0" w:themeFill="accent6" w:themeFillTint="40"/>
      </w:tcPr>
    </w:tblStylePr>
    <w:tblStylePr w:type="band1Horz">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2-Accent2"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2-Accent3"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2-Accent4"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2-Accent5"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2-Accent6"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styleId="ListTable3-Accent2"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firstRow">
      <w:rPr>
        <w:rFonts w:ascii="Arial" w:hAnsi="Arial"/>
        <w:b/>
        <w:color w:val="ffffff"/>
        <w:sz w:val="22"/>
      </w:r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style>
  <w:style w:type="table" w:styleId="ListTable3-Accent3"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firstRow">
      <w:rPr>
        <w:rFonts w:ascii="Arial" w:hAnsi="Arial"/>
        <w:b/>
        <w:color w:val="ffffff"/>
        <w:sz w:val="22"/>
      </w:r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style>
  <w:style w:type="table" w:styleId="ListTable3-Accent4"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styleId="ListTable3-Accent5"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styleId="ListTable3-Accent6"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styleId="-40">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4-Accent2"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4-Accent3"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4-Accent4"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4-Accent5"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4-Accent6"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styleId="ListTable5Dark-Accent2"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lastCol">
      <w:tcPr>
        <w:tcBorders>
          <w:left w:val="single" w:color="FFFFFF" w:themeColor="light1" w:sz="4" w:space="0"/>
          <w:right w:val="single" w:color="D996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style>
  <w:style w:type="table" w:styleId="ListTable5Dark-Accent3"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lastCol">
      <w:tcPr>
        <w:tcBorders>
          <w:left w:val="single" w:color="FFFFFF" w:themeColor="light1" w:sz="4" w:space="0"/>
          <w:right w:val="single" w:color="C3D69B"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style>
  <w:style w:type="table" w:styleId="ListTable5Dark-Accent4"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styleId="ListTable5Dark-Accent5"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styleId="ListTable5Dark-Accent6"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firstRow">
      <w:rPr>
        <w:b/>
        <w:color w:val="2a4a71" w:themeColor="accent1" w:themeShade="95"/>
      </w:rPr>
      <w:tcPr>
        <w:tcBorders>
          <w:bottom w:val="single" w:color="4F81BD" w:themeColor="accent1" w:sz="4" w:space="0"/>
        </w:tcBorders>
      </w:tcPr>
    </w:tblStylePr>
    <w:tblStylePr w:type="lastRow">
      <w:rPr>
        <w:b/>
        <w:color w:val="2a4a71" w:themeColor="accent1" w:themeShade="95"/>
      </w:r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firstRow">
      <w:rPr>
        <w:b/>
        <w:color w:val="d99695" w:themeColor="accent2" w:themeTint="97" w:themeShade="95"/>
      </w:rPr>
      <w:tcPr>
        <w:tcBorders>
          <w:bottom w:val="single" w:color="D99695" w:themeColor="accent2" w:themeTint="97" w:sz="4" w:space="0"/>
        </w:tcBorders>
      </w:tcPr>
    </w:tblStylePr>
    <w:tblStylePr w:type="lastRow">
      <w:rPr>
        <w:b/>
        <w:color w:val="d99695" w:themeColor="accent2" w:themeTint="97" w:themeShade="95"/>
      </w:rPr>
      <w:tcPr>
        <w:tcBorders>
          <w:top w:val="single" w:color="D99695" w:themeColor="accent2" w:themeTint="97"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firstRow">
      <w:rPr>
        <w:b/>
        <w:color w:val="c3d69b" w:themeColor="accent3" w:themeTint="98" w:themeShade="95"/>
      </w:rPr>
      <w:tcPr>
        <w:tcBorders>
          <w:bottom w:val="single" w:color="C3D69B" w:themeColor="accent3" w:themeTint="98" w:sz="4" w:space="0"/>
        </w:tcBorders>
      </w:tcPr>
    </w:tblStylePr>
    <w:tblStylePr w:type="lastRow">
      <w:rPr>
        <w:b/>
        <w:color w:val="c3d69b" w:themeColor="accent3" w:themeTint="98" w:themeShade="95"/>
      </w:rPr>
      <w:tcPr>
        <w:tcBorders>
          <w:top w:val="single" w:color="C3D69B" w:themeColor="accent3" w:themeTint="98"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firstRow">
      <w:rPr>
        <w:b/>
        <w:color w:val="b2a1c6" w:themeColor="accent4" w:themeTint="9A" w:themeShade="95"/>
      </w:rPr>
      <w:tcPr>
        <w:tcBorders>
          <w:bottom w:val="single" w:color="B2A1C6" w:themeColor="accent4" w:themeTint="9A" w:sz="4" w:space="0"/>
        </w:tcBorders>
      </w:tcPr>
    </w:tblStylePr>
    <w:tblStylePr w:type="lastRow">
      <w:rPr>
        <w:b/>
        <w:color w:val="b2a1c6" w:themeColor="accent4" w:themeTint="9A" w:themeShade="95"/>
      </w:rPr>
      <w:tcPr>
        <w:tcBorders>
          <w:top w:val="single" w:color="B2A1C6" w:themeColor="accent4" w:themeTint="9A"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firstRow">
      <w:rPr>
        <w:b/>
        <w:color w:val="92ccdc" w:themeColor="accent5" w:themeTint="9A" w:themeShade="95"/>
      </w:rPr>
      <w:tcPr>
        <w:tcBorders>
          <w:bottom w:val="single" w:color="92CCDC" w:themeColor="accent5" w:themeTint="9A" w:sz="4" w:space="0"/>
        </w:tcBorders>
      </w:tcPr>
    </w:tblStylePr>
    <w:tblStylePr w:type="lastRow">
      <w:rPr>
        <w:b/>
        <w:color w:val="92ccdc" w:themeColor="accent5" w:themeTint="9A" w:themeShade="95"/>
      </w:rPr>
      <w:tcPr>
        <w:tcBorders>
          <w:top w:val="single" w:color="92CCDC" w:themeColor="accent5" w:themeTint="9A"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firstRow">
      <w:rPr>
        <w:b/>
        <w:color w:val="fac090" w:themeColor="accent6" w:themeTint="98" w:themeShade="95"/>
      </w:rPr>
      <w:tcPr>
        <w:tcBorders>
          <w:bottom w:val="single" w:color="FAC090" w:themeColor="accent6" w:themeTint="98" w:sz="4" w:space="0"/>
        </w:tcBorders>
      </w:tcPr>
    </w:tblStylePr>
    <w:tblStylePr w:type="lastRow">
      <w:rPr>
        <w:b/>
        <w:color w:val="fac090" w:themeColor="accent6" w:themeTint="98" w:themeShade="95"/>
      </w:rPr>
      <w:tcPr>
        <w:tcBorders>
          <w:top w:val="single" w:color="FAC090" w:themeColor="accent6" w:themeTint="98"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firstRow">
      <w:rPr>
        <w:rFonts w:ascii="Arial" w:hAnsi="Arial"/>
        <w:i/>
        <w:color w:val="2a4a71" w:themeColor="accent1" w:themeShade="95"/>
        <w:sz w:val="22"/>
      </w:rPr>
      <w:tcPr>
        <w:tcBorders>
          <w:top w:val="none" w:color="auto" w:sz="0" w:space="0"/>
          <w:left w:val="none" w:color="auto" w:sz="0" w:space="0"/>
          <w:bottom w:val="single" w:color="4F81BD" w:themeColor="accent1" w:sz="4" w:space="0"/>
          <w:right w:val="none" w:color="auto" w:sz="0" w:space="0"/>
        </w:tcBorders>
        <w:shd w:val="clear" w:color="ffffff" w:themeColor="light1" w:fill="ffffff" w:themeFill="light1"/>
      </w:tcPr>
    </w:tblStylePr>
    <w:tblStylePr w:type="lastRow">
      <w:rPr>
        <w:rFonts w:ascii="Arial" w:hAnsi="Arial"/>
        <w:i/>
        <w:color w:val="2a4a71" w:themeColor="accent1" w:themeShade="95"/>
        <w:sz w:val="22"/>
      </w:rPr>
      <w:tcPr>
        <w:tcBorders>
          <w:top w:val="single" w:color="4F81BD"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a4a71" w:themeColor="accent1" w:themeShade="95"/>
        <w:sz w:val="22"/>
      </w:rPr>
      <w:pPr>
        <w:jc w:val="right"/>
      </w:p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rFonts w:ascii="Arial" w:hAnsi="Arial"/>
        <w:i/>
        <w:color w:val="2a4a71" w:themeColor="accent1" w:themeShade="95"/>
        <w:sz w:val="22"/>
      </w:r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firstRow">
      <w:rPr>
        <w:rFonts w:ascii="Arial" w:hAnsi="Arial"/>
        <w:i/>
        <w:color w:val="d99695" w:themeColor="accent2" w:themeTint="97" w:themeShade="95"/>
        <w:sz w:val="22"/>
      </w:rPr>
      <w:tcPr>
        <w:tcBorders>
          <w:top w:val="none" w:color="auto" w:sz="0" w:space="0"/>
          <w:left w:val="none" w:color="auto" w:sz="0" w:space="0"/>
          <w:bottom w:val="single" w:color="D99695" w:themeColor="accent2" w:themeTint="97" w:sz="4" w:space="0"/>
          <w:right w:val="none" w:color="auto" w:sz="0" w:space="0"/>
        </w:tcBorders>
        <w:shd w:val="clear" w:color="ffffff" w:themeColor="light1" w:fill="ffffff" w:themeFill="light1"/>
      </w:tcPr>
    </w:tblStylePr>
    <w:tblStylePr w:type="lastRow">
      <w:rPr>
        <w:rFonts w:ascii="Arial" w:hAnsi="Arial"/>
        <w:i/>
        <w:color w:val="d99695" w:themeColor="accent2" w:themeTint="97" w:themeShade="95"/>
        <w:sz w:val="22"/>
      </w:rPr>
      <w:tcPr>
        <w:tcBorders>
          <w:top w:val="single" w:color="D99695"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auto" w:sz="0" w:space="0"/>
          <w:left w:val="none" w:color="auto" w:sz="0" w:space="0"/>
          <w:bottom w:val="none" w:color="auto" w:sz="0"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auto" w:sz="0" w:space="0"/>
          <w:left w:val="single" w:color="D99695" w:themeColor="accent2" w:themeTint="97" w:sz="4" w:space="0"/>
          <w:bottom w:val="none" w:color="auto" w:sz="0" w:space="0"/>
          <w:right w:val="none" w:color="auto" w:sz="0" w:space="0"/>
        </w:tcBorders>
        <w:shd w:val="clear" w:color="ffffff" w:fill="auto"/>
      </w:tc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firstRow">
      <w:rPr>
        <w:rFonts w:ascii="Arial" w:hAnsi="Arial"/>
        <w:i/>
        <w:color w:val="c3d69b" w:themeColor="accent3" w:themeTint="98" w:themeShade="95"/>
        <w:sz w:val="22"/>
      </w:rPr>
      <w:tcPr>
        <w:tcBorders>
          <w:top w:val="none" w:color="auto" w:sz="0" w:space="0"/>
          <w:left w:val="none" w:color="auto" w:sz="0" w:space="0"/>
          <w:bottom w:val="single" w:color="C3D69B" w:themeColor="accent3" w:themeTint="98" w:sz="4" w:space="0"/>
          <w:right w:val="none" w:color="auto" w:sz="0" w:space="0"/>
        </w:tcBorders>
        <w:shd w:val="clear" w:color="ffffff" w:themeColor="light1" w:fill="ffffff" w:themeFill="light1"/>
      </w:tcPr>
    </w:tblStylePr>
    <w:tblStylePr w:type="lastRow">
      <w:rPr>
        <w:rFonts w:ascii="Arial" w:hAnsi="Arial"/>
        <w:i/>
        <w:color w:val="c3d69b" w:themeColor="accent3" w:themeTint="98" w:themeShade="95"/>
        <w:sz w:val="22"/>
      </w:rPr>
      <w:tcPr>
        <w:tcBorders>
          <w:top w:val="single" w:color="C3D69B"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c3d69b" w:themeColor="accent3" w:themeTint="98" w:themeShade="95"/>
        <w:sz w:val="22"/>
      </w:rPr>
      <w:pPr>
        <w:jc w:val="right"/>
      </w:pPr>
      <w:tcPr>
        <w:tcBorders>
          <w:top w:val="none" w:color="auto" w:sz="0" w:space="0"/>
          <w:left w:val="none" w:color="auto" w:sz="0" w:space="0"/>
          <w:bottom w:val="none" w:color="auto" w:sz="0" w:space="0"/>
          <w:right w:val="single" w:color="C3D69B" w:themeColor="accent3" w:themeTint="98" w:sz="4" w:space="0"/>
        </w:tcBorders>
        <w:shd w:val="clear" w:color="ffffff" w:fill="auto"/>
      </w:tcPr>
    </w:tblStylePr>
    <w:tblStylePr w:type="lastCol">
      <w:rPr>
        <w:rFonts w:ascii="Arial" w:hAnsi="Arial"/>
        <w:i/>
        <w:color w:val="c3d69b" w:themeColor="accent3" w:themeTint="98" w:themeShade="95"/>
        <w:sz w:val="22"/>
      </w:rPr>
      <w:tcPr>
        <w:tcBorders>
          <w:top w:val="none" w:color="auto" w:sz="0" w:space="0"/>
          <w:left w:val="single" w:color="C3D69B" w:themeColor="accent3" w:themeTint="98" w:sz="4" w:space="0"/>
          <w:bottom w:val="none" w:color="auto" w:sz="0" w:space="0"/>
          <w:right w:val="none" w:color="auto" w:sz="0" w:space="0"/>
        </w:tcBorders>
        <w:shd w:val="clear" w:color="ffffff" w:fill="auto"/>
      </w:tc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firstRow">
      <w:rPr>
        <w:rFonts w:ascii="Arial" w:hAnsi="Arial"/>
        <w:i/>
        <w:color w:val="b2a1c6" w:themeColor="accent4" w:themeTint="9A" w:themeShade="95"/>
        <w:sz w:val="22"/>
      </w:rPr>
      <w:tcPr>
        <w:tcBorders>
          <w:top w:val="none" w:color="auto" w:sz="0" w:space="0"/>
          <w:left w:val="none" w:color="auto" w:sz="0" w:space="0"/>
          <w:bottom w:val="single" w:color="B2A1C6" w:themeColor="accent4" w:themeTint="9A" w:sz="4" w:space="0"/>
          <w:right w:val="none" w:color="auto" w:sz="0" w:space="0"/>
        </w:tcBorders>
        <w:shd w:val="clear" w:color="ffffff" w:themeColor="light1" w:fill="ffffff" w:themeFill="light1"/>
      </w:tcPr>
    </w:tblStylePr>
    <w:tblStylePr w:type="lastRow">
      <w:rPr>
        <w:rFonts w:ascii="Arial" w:hAnsi="Arial"/>
        <w:i/>
        <w:color w:val="b2a1c6" w:themeColor="accent4" w:themeTint="9A" w:themeShade="95"/>
        <w:sz w:val="22"/>
      </w:rPr>
      <w:tcPr>
        <w:tcBorders>
          <w:top w:val="single" w:color="B2A1C6"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auto" w:sz="0" w:space="0"/>
          <w:left w:val="none" w:color="auto" w:sz="0" w:space="0"/>
          <w:bottom w:val="none" w:color="auto" w:sz="0"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auto" w:sz="0" w:space="0"/>
          <w:left w:val="single" w:color="B2A1C6" w:themeColor="accent4" w:themeTint="9A" w:sz="4" w:space="0"/>
          <w:bottom w:val="none" w:color="auto" w:sz="0" w:space="0"/>
          <w:right w:val="none" w:color="auto" w:sz="0" w:space="0"/>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firstRow">
      <w:rPr>
        <w:rFonts w:ascii="Arial" w:hAnsi="Arial"/>
        <w:i/>
        <w:color w:val="92ccdc" w:themeColor="accent5" w:themeTint="9A" w:themeShade="95"/>
        <w:sz w:val="22"/>
      </w:rPr>
      <w:tcPr>
        <w:tcBorders>
          <w:top w:val="none" w:color="auto" w:sz="0" w:space="0"/>
          <w:left w:val="none" w:color="auto" w:sz="0" w:space="0"/>
          <w:bottom w:val="single" w:color="92CCDC" w:themeColor="accent5" w:themeTint="9A" w:sz="4" w:space="0"/>
          <w:right w:val="none" w:color="auto" w:sz="0" w:space="0"/>
        </w:tcBorders>
        <w:shd w:val="clear" w:color="ffffff" w:themeColor="light1" w:fill="ffffff" w:themeFill="light1"/>
      </w:tcPr>
    </w:tblStylePr>
    <w:tblStylePr w:type="lastRow">
      <w:rPr>
        <w:rFonts w:ascii="Arial" w:hAnsi="Arial"/>
        <w:i/>
        <w:color w:val="92ccdc" w:themeColor="accent5" w:themeTint="9A" w:themeShade="95"/>
        <w:sz w:val="22"/>
      </w:rPr>
      <w:tcPr>
        <w:tcBorders>
          <w:top w:val="single" w:color="92CCDC"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92ccdc" w:themeColor="accent5" w:themeTint="9A" w:themeShade="95"/>
        <w:sz w:val="22"/>
      </w:rPr>
      <w:pPr>
        <w:jc w:val="right"/>
      </w:pPr>
      <w:tcPr>
        <w:tcBorders>
          <w:top w:val="none" w:color="auto" w:sz="0" w:space="0"/>
          <w:left w:val="none" w:color="auto" w:sz="0" w:space="0"/>
          <w:bottom w:val="none" w:color="auto" w:sz="0" w:space="0"/>
          <w:right w:val="single" w:color="92CCDC" w:themeColor="accent5" w:themeTint="9A" w:sz="4" w:space="0"/>
        </w:tcBorders>
        <w:shd w:val="clear" w:color="ffffff" w:fill="auto"/>
      </w:tcPr>
    </w:tblStylePr>
    <w:tblStylePr w:type="lastCol">
      <w:rPr>
        <w:rFonts w:ascii="Arial" w:hAnsi="Arial"/>
        <w:i/>
        <w:color w:val="92ccdc" w:themeColor="accent5" w:themeTint="9A" w:themeShade="95"/>
        <w:sz w:val="22"/>
      </w:rPr>
      <w:tcPr>
        <w:tcBorders>
          <w:top w:val="none" w:color="auto" w:sz="0" w:space="0"/>
          <w:left w:val="single" w:color="92CCDC" w:themeColor="accent5" w:themeTint="9A" w:sz="4" w:space="0"/>
          <w:bottom w:val="none" w:color="auto" w:sz="0" w:space="0"/>
          <w:right w:val="none" w:color="auto" w:sz="0" w:space="0"/>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firstRow">
      <w:rPr>
        <w:rFonts w:ascii="Arial" w:hAnsi="Arial"/>
        <w:i/>
        <w:color w:val="fac090" w:themeColor="accent6" w:themeTint="98" w:themeShade="95"/>
        <w:sz w:val="22"/>
      </w:rPr>
      <w:tcPr>
        <w:tcBorders>
          <w:top w:val="none" w:color="auto" w:sz="0" w:space="0"/>
          <w:left w:val="none" w:color="auto" w:sz="0" w:space="0"/>
          <w:bottom w:val="single" w:color="FAC090" w:themeColor="accent6" w:themeTint="98" w:sz="4" w:space="0"/>
          <w:right w:val="none" w:color="auto" w:sz="0" w:space="0"/>
        </w:tcBorders>
        <w:shd w:val="clear" w:color="ffffff" w:themeColor="light1" w:fill="ffffff" w:themeFill="light1"/>
      </w:tcPr>
    </w:tblStylePr>
    <w:tblStylePr w:type="lastRow">
      <w:rPr>
        <w:rFonts w:ascii="Arial" w:hAnsi="Arial"/>
        <w:i/>
        <w:color w:val="fac090" w:themeColor="accent6" w:themeTint="98" w:themeShade="95"/>
        <w:sz w:val="22"/>
      </w:rPr>
      <w:tcPr>
        <w:tcBorders>
          <w:top w:val="single" w:color="FAC090"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ac090" w:themeColor="accent6" w:themeTint="98" w:themeShade="95"/>
        <w:sz w:val="22"/>
      </w:rPr>
      <w:pPr>
        <w:jc w:val="right"/>
      </w:pPr>
      <w:tcPr>
        <w:tcBorders>
          <w:top w:val="none" w:color="auto" w:sz="0" w:space="0"/>
          <w:left w:val="none" w:color="auto" w:sz="0" w:space="0"/>
          <w:bottom w:val="none" w:color="auto" w:sz="0" w:space="0"/>
          <w:right w:val="single" w:color="FAC090" w:themeColor="accent6" w:themeTint="98" w:sz="4" w:space="0"/>
        </w:tcBorders>
        <w:shd w:val="clear" w:color="ffffff" w:fill="auto"/>
      </w:tcPr>
    </w:tblStylePr>
    <w:tblStylePr w:type="lastCol">
      <w:rPr>
        <w:rFonts w:ascii="Arial" w:hAnsi="Arial"/>
        <w:i/>
        <w:color w:val="fac090" w:themeColor="accent6" w:themeTint="98" w:themeShade="95"/>
        <w:sz w:val="22"/>
      </w:rPr>
      <w:tcPr>
        <w:tcBorders>
          <w:top w:val="none" w:color="auto" w:sz="0" w:space="0"/>
          <w:left w:val="single" w:color="FAC090" w:themeColor="accent6" w:themeTint="98" w:sz="4" w:space="0"/>
          <w:bottom w:val="none" w:color="auto" w:sz="0" w:space="0"/>
          <w:right w:val="none" w:color="auto" w:sz="0" w:space="0"/>
        </w:tcBorders>
        <w:shd w:val="clear" w:color="ffffff" w:fill="auto"/>
      </w:tc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ned-Accent"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Lined-Accent2"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Lined-Accent3"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Lined-Accent4"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Lined-Accent5"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Lined-Accent6"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Lined-Accent"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BorderedLined-Accent2"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BorderedLined-Accent3"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BorderedLined-Accent4"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BorderedLined-Accent5"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BorderedLined-Accent6"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Bordered-Accent2"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firstRow">
      <w:rPr>
        <w:rFonts w:ascii="Arial" w:hAnsi="Arial"/>
        <w:color w:val="404040"/>
        <w:sz w:val="22"/>
      </w:rPr>
      <w:tcPr>
        <w:tcBorders>
          <w:bottom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themeColor="accent2" w:themeTint="97" w:sz="12" w:space="0"/>
        </w:tcBorders>
      </w:tc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Bordered-Accent3"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firstRow">
      <w:rPr>
        <w:rFonts w:ascii="Arial" w:hAnsi="Arial"/>
        <w:color w:val="404040"/>
        <w:sz w:val="22"/>
      </w:rPr>
      <w:tcPr>
        <w:tcBorders>
          <w:bottom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Bordered-Accent4"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Bordered-Accent5"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Bordered-Accent6"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styleId="af3" w:customStyle="1">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styleId="af6" w:customStyle="1">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customStyle="1">
    <w:name w:val="Заголовок;Название;Название Знак Знак"/>
    <w:basedOn w:val="a"/>
    <w:link w:val="afb"/>
    <w:qFormat/>
    <w:pPr>
      <w:jc w:val="center"/>
    </w:pPr>
    <w:rPr>
      <w:b/>
      <w:bCs/>
      <w:sz w:val="28"/>
      <w:szCs w:val="28"/>
      <w:u w:val="single"/>
    </w:rPr>
  </w:style>
  <w:style w:type="character" w:styleId="afb" w:customStyle="1">
    <w:name w:val="Название Знак;Название Знак Знак Знак"/>
    <w:link w:val="afa"/>
    <w:rPr>
      <w:rFonts w:ascii="Cambria" w:hAnsi="Cambria" w:cs="Cambria"/>
      <w:b/>
      <w:bCs/>
      <w:sz w:val="32"/>
      <w:szCs w:val="32"/>
    </w:rPr>
  </w:style>
  <w:style w:type="paragraph" w:styleId="BodyTextIndent21" w:customStyle="1">
    <w:name w:val="Body Text Indent 21"/>
    <w:basedOn w:val="a"/>
    <w:pPr>
      <w:ind w:firstLine="720"/>
    </w:pPr>
    <w:rPr>
      <w:sz w:val="28"/>
      <w:szCs w:val="28"/>
    </w:rPr>
  </w:style>
  <w:style w:type="paragraph" w:styleId="ConsNonformat" w:customStyle="1">
    <w:name w:val="ConsNonformat"/>
    <w:pPr>
      <w:ind w:right="19772"/>
    </w:pPr>
    <w:rPr>
      <w:rFonts w:ascii="Courier New" w:hAnsi="Courier New" w:cs="Courier New"/>
      <w:lang w:eastAsia="ru-RU"/>
    </w:rPr>
  </w:style>
  <w:style w:type="paragraph" w:styleId="afc" w:customStyle="1">
    <w:name w:val="Знак"/>
    <w:basedOn w:val="a"/>
    <w:pPr>
      <w:spacing w:after="160" w:line="240" w:lineRule="exact"/>
    </w:pPr>
    <w:rPr>
      <w:rFonts w:ascii="Verdana" w:hAnsi="Verdana" w:cs="Verdana"/>
      <w:lang w:val="en-US" w:eastAsia="en-US"/>
    </w:rPr>
  </w:style>
  <w:style w:type="paragraph" w:styleId="afd" w:customStyle="1">
    <w:name w:val="Основной текст с отступом.Основной текст с отступом Знак"/>
    <w:basedOn w:val="a"/>
    <w:pPr>
      <w:spacing w:line="200" w:lineRule="atLeast"/>
      <w:ind w:firstLine="720"/>
      <w:jc w:val="both"/>
    </w:pPr>
    <w:rPr>
      <w:sz w:val="28"/>
      <w:szCs w:val="28"/>
      <w:lang w:val="en-US"/>
    </w:rPr>
  </w:style>
  <w:style w:type="paragraph" w:styleId="afe">
    <w:name w:val="Balloon Text"/>
    <w:basedOn w:val="a"/>
    <w:link w:val="aff"/>
    <w:semiHidden/>
    <w:rPr>
      <w:rFonts w:ascii="Tahoma" w:hAnsi="Tahoma" w:cs="Tahoma"/>
      <w:sz w:val="16"/>
      <w:szCs w:val="16"/>
    </w:rPr>
  </w:style>
  <w:style w:type="character" w:styleId="aff" w:customStyle="1">
    <w:name w:val="Текст выноски Знак"/>
    <w:link w:val="afe"/>
    <w:semiHidden/>
    <w:rPr>
      <w:rFonts w:cs="Times New Roman"/>
      <w:sz w:val="2"/>
      <w:szCs w:val="2"/>
    </w:rPr>
  </w:style>
  <w:style w:type="character" w:styleId="aff0">
    <w:name w:val="Emphasis"/>
    <w:qFormat/>
    <w:rPr>
      <w:rFonts w:cs="Times New Roman"/>
      <w:i/>
      <w:iCs/>
    </w:rPr>
  </w:style>
  <w:style w:type="character" w:styleId="ac" w:customStyle="1">
    <w:name w:val="Верхний колонтитул Знак"/>
    <w:link w:val="ab"/>
    <w:semiHidden/>
    <w:rPr>
      <w:rFonts w:cs="Times New Roman"/>
    </w:rPr>
  </w:style>
  <w:style w:type="character" w:styleId="aff1">
    <w:name w:val="page number"/>
    <w:rPr>
      <w:rFonts w:cs="Times New Roman"/>
    </w:rPr>
  </w:style>
  <w:style w:type="character" w:styleId="ae" w:customStyle="1">
    <w:name w:val="Нижний колонтитул Знак"/>
    <w:link w:val="ad"/>
    <w:semiHidden/>
    <w:rPr>
      <w:rFonts w:cs="Times New Roman"/>
    </w:rPr>
  </w:style>
  <w:style w:type="paragraph" w:styleId="aff2" w:customStyle="1">
    <w:name w:val="Знак"/>
    <w:basedOn w:val="a"/>
    <w:pPr>
      <w:spacing w:after="160" w:line="240" w:lineRule="exact"/>
    </w:pPr>
    <w:rPr>
      <w:rFonts w:ascii="Verdana" w:hAnsi="Verdana"/>
      <w:lang w:val="en-US" w:eastAsia="en-US"/>
    </w:rPr>
  </w:style>
  <w:style w:type="paragraph" w:styleId="aff3">
    <w:name w:val="Body Text"/>
    <w:basedOn w:val="a"/>
    <w:link w:val="aff4"/>
    <w:pPr>
      <w:jc w:val="center"/>
    </w:pPr>
    <w:rPr>
      <w:b/>
      <w:sz w:val="26"/>
    </w:rPr>
  </w:style>
  <w:style w:type="character" w:styleId="aff4" w:customStyle="1">
    <w:name w:val="Основной текст Знак"/>
    <w:link w:val="aff3"/>
    <w:rPr>
      <w:b/>
      <w:sz w:val="26"/>
    </w:rPr>
  </w:style>
  <w:style w:type="paragraph" w:styleId="aff5">
    <w:name w:val="Body Text Indent"/>
    <w:basedOn w:val="a"/>
    <w:link w:val="aff6"/>
    <w:pPr>
      <w:spacing w:after="120"/>
      <w:ind w:left="283"/>
    </w:pPr>
  </w:style>
  <w:style w:type="character" w:styleId="aff6" w:customStyle="1">
    <w:name w:val="Основной текст с отступом Знак"/>
    <w:basedOn w:val="a0"/>
    <w:link w:val="aff5"/>
  </w:style>
  <w:style w:type="paragraph" w:styleId="aff7">
    <w:name w:val="Normal (Web)"/>
    <w:basedOn w:val="a"/>
    <w:uiPriority w:val="99"/>
    <w:unhideWhenUsed/>
    <w:pPr>
      <w:spacing w:before="100" w:beforeAutospacing="1" w:after="100" w:afterAutospacing="1"/>
    </w:pPr>
    <w:rPr>
      <w:sz w:val="24"/>
      <w:szCs w:val="24"/>
    </w:rPr>
  </w:style>
  <w:style w:type="paragraph" w:styleId="33">
    <w:name w:val="Body Text 3"/>
    <w:basedOn w:val="a"/>
    <w:link w:val="34"/>
    <w:unhideWhenUsed/>
    <w:pPr>
      <w:spacing w:after="120"/>
    </w:pPr>
    <w:rPr>
      <w:sz w:val="16"/>
      <w:szCs w:val="16"/>
    </w:rPr>
  </w:style>
  <w:style w:type="character" w:styleId="34" w:customStyle="1">
    <w:name w:val="Основной текст 3 Знак"/>
    <w:link w:val="33"/>
    <w:rPr>
      <w:sz w:val="16"/>
      <w:szCs w:val="16"/>
    </w:rPr>
  </w:style>
  <w:style w:type="paragraph" w:styleId="25">
    <w:name w:val="Body Text 2"/>
    <w:basedOn w:val="a"/>
    <w:link w:val="26"/>
    <w:pPr>
      <w:spacing w:after="120" w:line="480" w:lineRule="auto"/>
    </w:pPr>
  </w:style>
  <w:style w:type="character" w:styleId="26" w:customStyle="1">
    <w:name w:val="Основной текст 2 Знак"/>
    <w:basedOn w:val="a0"/>
    <w:link w:val="25"/>
  </w:style>
  <w:style w:type="character" w:styleId="link" w:customStyle="1">
    <w:name w:val="link"/>
  </w:style>
  <w:style w:type="paragraph" w:styleId="35">
    <w:name w:val="Body Text Indent 3"/>
    <w:basedOn w:val="a"/>
    <w:link w:val="36"/>
    <w:pPr>
      <w:spacing w:after="120"/>
      <w:ind w:left="283"/>
    </w:pPr>
    <w:rPr>
      <w:sz w:val="16"/>
      <w:szCs w:val="16"/>
    </w:rPr>
  </w:style>
  <w:style w:type="character" w:styleId="36" w:customStyle="1">
    <w:name w:val="Основной текст с отступом 3 Знак"/>
    <w:link w:val="35"/>
    <w:rPr>
      <w:sz w:val="16"/>
      <w:szCs w:val="16"/>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lang w:val="en-US"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78CA-AADB-4287-8839-89849F13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Р7-Офис/2024.2.1.466</Application>
  <Characters>5188</Characters>
  <CharactersWithSpaces>6086</CharactersWithSpaces>
  <Company>WORKGROUP</Company>
  <DocSecurity>0</DocSecurity>
  <HyperlinksChanged>false</HyperlinksChanged>
  <Lines>43</Lines>
  <LinksUpToDate>false</LinksUpToDate>
  <Pages>3</Pages>
  <Paragraphs>12</Paragraphs>
  <ScaleCrop>false</ScaleCrop>
  <SharedDoc>false</SharedDoc>
  <Template>Normal</Template>
  <TotalTime>4</TotalTime>
  <Words>910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u0</dc:creator>
  <cp:lastModifiedBy>Гетман Г.В.</cp:lastModifiedBy>
  <cp:revision>3</cp:revision>
  <dcterms:created xsi:type="dcterms:W3CDTF">2024-07-04T09:01:00Z</dcterms:created>
  <dcterms:modified xsi:type="dcterms:W3CDTF">2024-07-04T09:05:00Z</dcterms:modified>
  <cp:version>1048576</cp:version>
</cp:coreProperties>
</file>