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674A59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23.04.2025 № 2368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573E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9C056D">
        <w:rPr>
          <w:rFonts w:ascii="Times New Roman" w:hAnsi="Times New Roman" w:cs="Times New Roman"/>
          <w:b/>
          <w:sz w:val="28"/>
          <w:szCs w:val="28"/>
        </w:rPr>
        <w:t>5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6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E57036" w:rsidRPr="00E57036" w:rsidTr="00722788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7036" w:rsidRPr="00E57036" w:rsidTr="00722788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9B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="009B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90 576 730 902,71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16 581 401 078,35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73 995 329 824,36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38 462 137 700,00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6 674 532 558,01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31 787 605 141,99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18 283 873 000,00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3 509 974 368,47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14 773 898 631,53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2 582 492 000,00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679 693 932,75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1 902 798 067,25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652 783 869,67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1 764 240 130,33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кроме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000 10101012020000110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652 868 823,57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1 764 155 176,43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 (в том числе перерасчё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000 10101014020000110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-84 953,90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84 953,90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7 792 897,37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59 812 102,63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000 10101130010000110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19 117 165,71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78 745 834,29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15 701 381 000,00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2 830 280 435,72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12 871 100 564,28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 w:rsidR="0008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 (в части суммы налога, не превышающей 650 тысяч рублей за налоговые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12 658 138 000,00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2 469 404 314,99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10 188 733 685,01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CD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601 498,78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125 326 501,22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CD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 в соответствии со статьё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 (за исключением доходов от долевого участия в организации, полученных физи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ческим лицом </w:t>
            </w:r>
            <w:r w:rsidR="0008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32 078 048,46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21F" w:rsidRDefault="0020521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214 229 951,54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</w:t>
            </w:r>
            <w:r w:rsidR="00CD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статьё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18 890 391,90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115 903 608,10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711CF3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суммы налога, превышающей </w:t>
            </w:r>
            <w:r w:rsidR="00D4650A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650 000 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рублей, относящейся к част</w:t>
            </w:r>
            <w:r w:rsidR="00D4650A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налоговой базы, превышающей 5 000 000 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</w:t>
            </w:r>
            <w:r w:rsidR="00082D80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дивидендов) за налоговые периоды до 1 января 2025 года, а также налог на доходы физических лиц в част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суммы налога, превышающей 312 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тысяч рублей, относящейся к части 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налоговой базы, превышающей 2,4 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мил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лиона р</w:t>
            </w:r>
            <w:r w:rsidR="00D4650A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ублей и составляющей не более 5 мил</w:t>
            </w:r>
            <w:r w:rsidR="008110C7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лионов 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</w:t>
            </w:r>
            <w:r w:rsidR="00D4650A"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сумм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ы налога, превышающей 312 тысяч 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рублей, относящейся к сумме налоговых баз, указанных в пункте 6 статьи 210 Налогового кодекса Рос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сийской Фед</w:t>
            </w:r>
            <w:r w:rsid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ерации, превышающей 2,4 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миллиона рублей (за исключением налога на доходы физических лиц в от</w:t>
            </w:r>
            <w:r w:rsidRPr="00724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ношении доходов, указанных</w:t>
            </w:r>
            <w:r w:rsidRPr="0081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абзацах </w:t>
            </w:r>
            <w:r w:rsidRP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</w:t>
            </w:r>
            <w:r w:rsidR="003C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азанных в абзаце девятом пункта </w:t>
            </w:r>
            <w:r w:rsidRP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</w:t>
            </w:r>
            <w:r w:rsidR="00D4650A" w:rsidRP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периоды после 1 января 2025 </w:t>
            </w:r>
            <w:r w:rsidRP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C3F" w:rsidRDefault="00F36C3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C3F" w:rsidRDefault="00F36C3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000 10102080010000110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C3F" w:rsidRDefault="00F36C3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C3F" w:rsidRDefault="00F36C3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41 774 413,04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C3F" w:rsidRDefault="00F36C3F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4FA" w:rsidRDefault="00EF44FA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1 243 695 586,96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</w:t>
            </w:r>
            <w:r w:rsid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года, а также в части суммы н</w:t>
            </w:r>
            <w:r w:rsidR="0022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алога, не превышающей 312 тысяч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</w:t>
            </w:r>
            <w:r w:rsidR="0071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за налоговые периоды после 1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000 10102090010000110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оговые периоды до 1 января 2025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3B6" w:rsidRDefault="00E413B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9A1C09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</w:t>
            </w:r>
            <w:r w:rsidR="00D4650A"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 налога, превышающей 650 тысяч </w:t>
            </w:r>
            <w:r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D4650A"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ублей за налоговые периоды до 1 </w:t>
            </w:r>
            <w:r w:rsid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января 2025 </w:t>
            </w:r>
            <w:r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года, а также в части сумм</w:t>
            </w:r>
            <w:r w:rsidR="00D4650A"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 налога, превышающей 312 тысяч рублей, но не более 702 тысяч </w:t>
            </w:r>
            <w:r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рублей за налого</w:t>
            </w:r>
            <w:r w:rsidR="00D4650A"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вые периоды после 1 января 2025 </w:t>
            </w:r>
            <w:r w:rsidRPr="009A1C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</w:t>
            </w:r>
            <w:r w:rsidR="009A1C09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A1C09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58 525 879,97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275 925 120,03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08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 (в част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суммы налога, превышающей 650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налога, превышающей 312 тысяч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за налоговые периоды после 1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2025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914 650 000,00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152 204 374,65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762 445 625,35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C066A3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6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Налог на доходы физических лиц в части суммы налога, превышающе</w:t>
            </w:r>
            <w:r w:rsidR="00C066A3" w:rsidRPr="00C06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702 тысячи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рублей, относящейся к част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налоговой базы, превышающей 5 миллионов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рублей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сос</w:t>
            </w:r>
            <w:r w:rsid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тавляющей не более 20 миллионов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суммы налога, превышающей 312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тысяч рублей, относящейся к сумме налоговых баз, указанных в пункте 6 статьи 210 Налогового кодекса Россий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ской Федерации, превышающей 2,4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миллиона рублей (за исключением налога на доходы физических лиц в отношении доходов, указанных в абзацах тридцать пятом и тридцать шестом 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азанных в абзаце девятом пункта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30 475 783,33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885" w:rsidRDefault="00B25885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-30 475 783,33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C066A3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Налог на доходы физических лиц в ча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 суммы налога, превышающей 3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402 тысячи рублей, относящейся к части налоговой</w:t>
            </w:r>
            <w:r w:rsid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базы, превышающей 20 миллионов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блей и составляющей не более 50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суммы налога, превышающей 312 тысяч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рублей, относящейся к сумме налоговых баз, указанных в пункте 6 статьи 210 Налогового кодекса Россий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ской Федерации, превышающей 2,4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дов физических лиц, не являющихся налоговыми резидентами Российской Федерации, ук</w:t>
            </w:r>
            <w:r w:rsidR="00D4650A"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азанных в абзаце девятом пункта </w:t>
            </w:r>
            <w:r w:rsidRPr="00C066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10 440 046,37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-10 440 046,37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гового кодекса Российской Федерации, в част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суммы налога, превышающей 312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000 10102170010000110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12 903 286,84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-12 903 286,84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налога, превышающей 312 тысяч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рублей, относящейся к сумме налоговых б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аз, указанных в пункте 6 статьи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Налогового кодекса Российской Феде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превышающей 2,4 миллиона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</w:t>
            </w:r>
            <w:r w:rsidR="0008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000 10102180010000110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948 085,78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-948 085,78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000 10102210010000110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2 171 926,32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-2 171 926,32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превышающей 650 тысяч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рублей, относящейся к налоговой базе, указанной в пункте 6.2 статьи 210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Налогового кодекса Российской Федерации, превышающей 5 миллионов рублей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-5 385,29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37 369 352,21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212 364 747,79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37 369 352,21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118 164 747,79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18 355 903,70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62 991 096,30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18 355 903,70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62 991 096,30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260 801,35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260 801,35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20 487 675,60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61 666 324,40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20 487 675,60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61 666 324,40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ный бензин,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-1 578 525,74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-6 753 474,26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-1 578 525,74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-6 753 474,26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94 200 000,00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10 137 114 000,00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1 443 706 904,98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8 693 407 095,02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9 091 585 000,00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861 232 915,76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8 230 352 084,24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7 290 898 000,00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539 595 428,29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6 751 302 571,71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7 290 898 000,00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539 595 428,29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6 751 302 571,71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321 637 487,47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1 479 049 512,53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321 637 487,47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1 479 049 512,53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0143EF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E57036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518 899,02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-518 899,02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0143EF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E57036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520 888,09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-520 888,09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0143EF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E57036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-1 989,07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1 989,07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136 080 272,81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4 929 727,19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136 080 272,81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4 929 727,19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445 874 817,39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458 644 182,61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445 874 817,39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458 644 182,61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6 210 912 000,00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682 245 503,68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5 528 666 496,32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3 021 166 000,00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93 971 009,89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2 927 194 990,11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000 10601020040000110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3 021 166 000,00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93 971 009,89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2 927 194 990,11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103 534 887,44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299 023 112,56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51 529 512,47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108 245 487,53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000 10602020020000110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242 783 000,00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52 005 374,97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190 777 625,03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484 739 606,35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2 302 448 393,65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446 797 914,85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1 370 169 085,15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446 797 914,85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1 370 169 085,15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37 941 691,50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932 279 308,50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37 941 691,50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932 279 308,50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334 650 000,00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300 334 361,43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34 315 638,57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300 019 361,43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33 545 638,57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300 019 361,43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33 545 638,57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ЖЕННОСТЬ И ПЕРЕРАСЧЁТЫ ПО ОТМЕНЁ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-14 992,41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0143EF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E57036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-14 992,41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-14 619,00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-14 619,00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1 428 583 000,00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358 420 285,84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1 070 162 714,16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000 11101040040000120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имущества бюджетных и автономных учреждений, а также имущества государственных и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315 140 839,19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909 584 160,81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158 993 501,90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528 673 498,10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158 993 501,90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528 673 498,10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27 664 511,82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67 683 488,18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000 11105024040000120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95 348 000,00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27 664 511,82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67 683 488,18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2 162 491,91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33 961 508,09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2 162 491,91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33 961 508,09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38 748 416,20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88 232 583,80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38 748 416,20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88 232 583,80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87 571 917,36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191 033 082,64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87 571 917,36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191 033 082,64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2 671 312,75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267 687,25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1 084 065,86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1 629 934,14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1 084 065,86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1 629 934,14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1 587 156,64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-1 367 156,64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1 587 156,64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-1 367 156,64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C97364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73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4 909,75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4D1" w:rsidRDefault="00D624D1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000 11105326040000120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4 909,75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165 628,58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-44 628,58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31 764,87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-31 764,87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000 11105410040000120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31 764,87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-31 764,87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133 863,71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-12 863,71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000 11105420040000120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133 863,71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-12 863,71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199 921 000,00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40 442 505,32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159 478 494,68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12 698 358,07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46 323 641,93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12 698 358,07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46 323 641,93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C97364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73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27 744 147,25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113 154 852,75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000 11109080040000120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27 744 147,25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113 154 852,75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16 200 782,82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36 370 217,18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000 11201000010000120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16 200 782,82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36 370 217,18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000 11201010010000120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7 551 766,69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-1 528 766,69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000 11201030010000120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700 166,51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2 461 833,49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7 917 842,53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35 347 157,47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000 11201041010000120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7 891 840,42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7 246 159,58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F3309D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E57036"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000 11201042010000120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28 100 997,89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000 11201070010000120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89 992,91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855 133 800,00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138 663 436,92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716 470 363,08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60 181 797,41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124 581 202,59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60 181 797,41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124 581 202,59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60 181 797,41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124 581 202,59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670 370 800,00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78 481 639,51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591 889 160,49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3 832 029,22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12 438 970,78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3 832 029,22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12 438 970,78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654 099 800,00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74 649 610,29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579 450 189,71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654 099 800,00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74 649 610,29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579 450 189,71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52 715 157,61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323 307 842,39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791 035,35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-612 035,35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000 11402043040000410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806 035,35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-627 035,35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000 11402042040000440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806 035,35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-627 035,35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50 484 381,09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313 094 618,91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50 484 381,09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313 094 618,91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000 11406012040000430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50 484 381,09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313 094 618,91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000 11413000000000000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1 439 741,17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10 825 258,83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000 11413040040000410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1 439 741,17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10 825 258,83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138 442 271,90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393 784 728,10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7 476 531,28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13 394 468,72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107 280,38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371 719,62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000 11601053010000140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107 280,38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371 719,62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401 966,75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614 033,25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000 11601063010000140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401 966,75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614 033,25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133 774,94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733 225,06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88 774,94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703 225,06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охраны собственности, выявленные должностными лицами органов муниципального конт</w:t>
            </w:r>
            <w:r w:rsidR="002D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000 11601074010000140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000 11601080010000140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334 248,11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000 11601083010000140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334 248,11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000 11601090010000140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000 11601093010000140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000 11601103010000140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65 750,00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000 11601113010000140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65 750,00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64 808,11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000 11601123010000140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64 808,11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102 453,02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000 11601133010000140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102 453,02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000 11601140010000140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371 247,75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679 752,25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000 11601143010000140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371 247,75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679 752,25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86 660,70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124 339,30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51 660,70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109 339,30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000 11601157010000140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000 11601163010000140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000 11601170010000140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26 105,51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000 11601173010000140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26 105,51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000 11601180010000140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000 11601183010000140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940 658,61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6 447 341,39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920 658,61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6 467 341,39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000 11601194010000140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000 11601200010000140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5 332 806,90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2 689 193,10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000 11601203010000140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5 332 806,90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2 689 193,10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000 11602000020000140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850 249,40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4 360 750,60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000 11602010020000140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812 704,48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2 552 295,52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000 11602020020000140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1 808 455,08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502 812 000,00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122 378 136,79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380 433 863,21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000 11607010000000140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1 299 824,04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10 198 175,96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муниципальным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органом,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000 11607010040000140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1 299 824,04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10 198 175,96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</w:t>
            </w:r>
            <w:r w:rsidRPr="00C973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договором в случае неисполнения или ненадлежащего исполнения обязательств перед государственным (муни</w:t>
            </w:r>
            <w:r w:rsidR="000143EF" w:rsidRPr="00C973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ципаль</w:t>
            </w:r>
            <w:r w:rsidR="000143EF" w:rsidRPr="00C973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ным) органом, казё</w:t>
            </w:r>
            <w:r w:rsidRPr="00C973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000 11607090000000140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121 078 312,75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370 235 687,25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 органом (муниципальным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000 11607090040000140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121 078 312,75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370 235 687,25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1 520 263,07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1 472 736,93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1 036 331,64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182 668,36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494 490,81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210 509,19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 исключением</w:t>
            </w:r>
            <w:r w:rsidR="00B0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имущества, закреплё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000 11610032040000140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541 840,83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-27 840,83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уклонением от заключения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000 11610060000000140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134 063,50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327 936,50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2D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000 11610061040000140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134 063,50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327 936,50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165 990,75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832 009,25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000 11610100040000140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165 990,75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832 009,25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183 877,18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130 122,82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фов), поступающие в счё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</w:t>
            </w:r>
            <w:r w:rsidR="00D46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ормативам, действовавшим в 2019 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185 009,08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128 990,92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000 11610129010000140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1 131,90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6 217 091,36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-5 877 091,36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дных территориях,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объектам, водным биологическим ресурсам, атмосферному воздуху, почвам, недрам,</w:t>
            </w:r>
            <w:r w:rsidR="00F5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 животного мира, занесё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-679 381,86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867 381,86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000 11611064010000140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почвам, а также платежи, уплачиваемые при добров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почвам, подлежащие зачислению в бюджет муниципального образовани</w:t>
            </w:r>
            <w:r w:rsidR="0001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(за исключением вреда, причинё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на особо охраняемых природных территориях)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000 11611130010000140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6 896 473,22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-6 896 473,22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-3 554 860,26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4 871 660,26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-3 610 126,54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3 610 126,54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-3 610 126,54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3 610 126,54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1 116 903,26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1 116 903,26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144 630,46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000 11715020040000150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144 630,46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52 114 593 202,71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9 906 868 520,34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42 207 724 682,37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52 109 587 400,00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9 795 801 100,83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42 313 786 299,17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на поддержку мер по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000 20215002000000150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000 20215002040000150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25 735 225 800,00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3 892 880 082,90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21 842 345 717,10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19 055 062 500,00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1 973 388 146,73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17 081 674 353,27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19 055 062 500,00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1 973 388 146,73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17 081 674 353,27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адресное строи</w:t>
            </w:r>
            <w:r w:rsidR="00C4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школ в отдельных населё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пунктах с объективно выявленной потребностью инфраструктуры (зданий) школ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000 20225049000000150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000 20225049040000150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540 648 800,00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000 20225304000000150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1 073 363 700,00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360 616 373,79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712 747 326,21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горячего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000 20225304040000150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1 073 363 700,00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360 616 373,79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1E13" w:rsidRDefault="004C1E13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712 747 326,21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000 20225401000000150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1 249 113 002,00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000 20225401040000150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1 249 113 002,00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внедрение интеллектуальных транспортных систем,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000 20225418000000150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50C" w:rsidRDefault="0054450C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000 20225418040000150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67 323 400,00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9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000 20225497000000150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90 359 692,05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46 785 407,95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9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000 20225497040000150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90 359 692,05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46 785 407,95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3 177 500,00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5 086 400,00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000 20225555000000150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74 512 200,00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74 512 200,00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000 20225555040000150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74 512 200,00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DD6" w:rsidRDefault="00110DD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74 512 200,00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модернизацию региональных и муниципальных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000 20225580000000150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000 20225580040000150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16 628 400,00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закупки и мон</w:t>
            </w:r>
            <w:r w:rsidR="0070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тажа оборудования для создания «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умных</w:t>
            </w:r>
            <w:r w:rsidR="0070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000 20225753000000150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закупки и мон</w:t>
            </w:r>
            <w:r w:rsidR="0070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тажа оборудования для создания «умных»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000 20225753040000150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3 501 164 400,00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219 402 868,33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3 281 761 531,67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3 501 164 400,00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219 402 868,33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3 281 761 531,67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22 553 203 000,00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5 846 856 017,93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16 706 346 982,07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21 131 169 400,00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5 548 078 975,98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15 583 090 424,02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21 131 169 400,00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5 548 078 975,98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15 583 090 424,02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7 820 654,83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163 172 145,17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7 820 654,83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163 172 145,17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000 20235179000000150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31 627 700,00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000 20235179040000150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31 627 700,00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ежемесячное денежное 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000 20235303000000150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144 943 200,00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419 169 100,00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000 20235303040000150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144 943 200,00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419 169 100,00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000 20236900000000150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642 285 600,00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133 223 587,12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509 062 012,88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000 20236900040000150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642 285 600,00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133 223 587,12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509 062 012,88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3 765 093 600,00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города Байк</w:t>
            </w:r>
            <w:r w:rsidR="0070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000 20245050000000150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8 565 600,00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</w:t>
            </w:r>
            <w:r w:rsidR="0070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000 20245050040000150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8 565 600,00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3 756 528 000,00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3 756 528 000,00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3 756 528 000,00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3 756 528 000,00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323 479,04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-323 479,04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000 20304000040000150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323 479,04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-323 479,04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000 20304099040000150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323 479,04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-323 479,04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000 20704050040000150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65 742 775,41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181 793 749,03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-116 050 973,62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65 742 775,41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181 793 749,03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-116 050 973,62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65 742 775,41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181 793 749,03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-116 050 973,62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65 742 775,41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181 793 749,03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-116 050 973,62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000 21804010040000150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4 611 907,41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28 464 720,13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-23 852 812,72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26 059 263,12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76 382 517,37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-50 323 254,25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000 21804030040000150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35 071 604,88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76 946 511,53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-41 874 906,65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-66 736 972,70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-77 049 808,56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10 312 835,86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-66 736 972,70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-77 049 808,56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10 312 835,86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000 21925304040000150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-28 773 852,53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-28 773 852,53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реализацию </w:t>
            </w:r>
            <w:r w:rsidR="009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000 21925497040000150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-5 671,45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5 671,45</w:t>
            </w:r>
          </w:p>
        </w:tc>
      </w:tr>
      <w:tr w:rsidR="00E57036" w:rsidRPr="00E57036" w:rsidTr="00722788">
        <w:tc>
          <w:tcPr>
            <w:tcW w:w="4253" w:type="dxa"/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проведе</w:t>
            </w: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000 21935179040000150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-2 393 069,09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-2 393 069,09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342" w:rsidRDefault="00D01342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000 21935303040000150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-5 221 970,97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-5 221 970,97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7036" w:rsidRPr="00E57036" w:rsidTr="00722788"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7036" w:rsidRPr="00E57036" w:rsidRDefault="00E57036" w:rsidP="00B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000 21960010040000150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-30 348 080,11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-40 655 244,52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57036" w:rsidRPr="00E57036" w:rsidRDefault="00E57036" w:rsidP="007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10 307 164,41</w:t>
            </w:r>
          </w:p>
        </w:tc>
      </w:tr>
    </w:tbl>
    <w:p w:rsidR="00C3580F" w:rsidRDefault="00C3580F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80F" w:rsidRDefault="00C3580F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E1A" w:rsidRDefault="00564E1A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9D8" w:rsidRDefault="008E19D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</w:p>
          <w:p w:rsidR="008A4AF8" w:rsidRPr="009D6027" w:rsidRDefault="00525C69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7" w:type="dxa"/>
        <w:tblInd w:w="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7"/>
        <w:gridCol w:w="2126"/>
        <w:gridCol w:w="2126"/>
        <w:gridCol w:w="2127"/>
      </w:tblGrid>
      <w:tr w:rsidR="00AF129E" w:rsidRPr="00AF129E" w:rsidTr="00AF129E">
        <w:trPr>
          <w:tblHeader/>
        </w:trPr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129E" w:rsidRPr="00AF129E" w:rsidTr="00AF129E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  <w:r w:rsidR="0050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96 655 389 236,86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17 736 824 613,16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78 918 564 623,70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4 601 877 546,85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662 530 535,74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3 939 347 011,11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424 833,79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2 660 166,21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424 833,79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2 660 166,21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424 833,79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2 660 166,21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351 844,92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2 017 155,08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72 988,87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643 011,13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368 071 000,00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60 014 352,13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308 056 647,87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56 851 636,00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240 319 364,00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56 851 636,00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240 319 364,00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42 630 370,03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162 228 629,97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772 676,47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5 352 323,53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3 046 836,00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15 630 164,00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10 401 753,50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57 108 246,50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67 663 994,87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67 663 994,87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3 150 005,13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67 663 994,87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73 289,00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73 289,00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66 289,00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1 798 494 100,00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324 013 770,97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1 474 480 329,03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1 678 745 500,00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306 015 423,29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1 372 730 076,71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1 678 745 500,00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306 015 423,29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1 372 730 076,71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1 282 535 500,00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244 751 140,47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1 037 784 359,53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9 015 446,00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2 187 773,20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6 827 672,80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387 194 554,00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59 076 509,62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328 118 044,38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16 662 811,72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87 786 388,28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16 662 811,72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87 786 388,28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13 335 789,81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69 837 210,19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3 327 021,91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7 557 378,09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3 121,04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26 878,96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26 878,96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26 878,96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1 332 414,92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13 936 985,08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1 332 414,92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13 260 985,08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508 742,85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1 641 957,15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76 064,75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250 735,25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747 607,32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11 368 292,68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48 371 751,46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211 679 548,54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44 745 361,85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192 016 338,15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44 745 361,85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192 016 338,15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181 054 400,00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36 120 140,25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144 934 259,75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1 148 852,20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404 442,01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744 410,19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54 558 447,80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8 220 779,59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46 337 668,21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3 476 721,61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19 645 178,39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3 476 721,61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19 645 178,39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3 476 721,61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19 645 178,39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18 032,00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18 032,00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18 032,00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93 445 500,00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93 628 900,00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1 984 876 146,85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229 705 827,39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1 755 170 319,46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157 792 434,80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707 913 165,20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110 480 024,26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490 332 375,74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88 841 974,71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372 366 525,29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248 979,40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21 569 028,95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117 716 871,05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264 893 200,00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47 312 410,54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217 580 789,46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38 294 840,95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164 957 359,05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256 253,80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9 015 023,39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52 367 176,61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395 462 600,00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62 200 307,43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333 262 292,57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395 462 600,00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62 200 307,43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333 262 292,57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6 745 796,40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69 254 203,60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38 388 691,66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217 990 208,34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63 083 700,00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17 065 819,37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46 017 880,63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39 180 000,00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37 708 000,00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678 625 946,85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3 811 085,16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674 814 861,69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617 009 091,00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323 242,07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616 685 848,93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617 009 091,00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323 242,07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616 685 848,93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3 487 843,09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9 471 356,91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3 184 733,00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8 466 667,00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257 489,38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799 310,62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45 620,71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205 379,29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48 657 655,85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48 657 655,85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985 072 400,00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177 527 932,38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807 544 467,62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32 771 101,32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172 744 998,68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4 778 787,60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21 090 512,40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4 778 787,60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21 090 512,40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3 860 182,40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16 008 317,60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918 605,20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5 082 194,80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27 987 591,62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151 636 208,38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27 987 591,62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151 636 208,38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25 077 706,19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19 882 193,81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134 341 900,00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2 784 605,46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131 557 294,54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125 279,97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196 720,03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18 277,90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18 277,90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12 311,00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755 439 900,00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141 643 137,68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613 796 762,32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623 213 400,00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124 574 322,62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498 639 077,38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578 797 500,00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115 943 258,57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462 854 241,43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444 198 000,00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93 365 593,73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350 832 406,27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415 480,00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22 542 144,84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111 606 355,16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8 631 064,05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35 784 835,95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6 974 086,11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26 925 213,89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1 648 577,94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8 589 522,06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16 779 512,28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114 228 987,72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16 779 512,28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114 228 987,72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120 937 500,00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15 897 697,30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105 039 802,70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881 814,98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1 889 185,02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289 302,78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928 697,22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289 302,78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928 697,22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544 681,00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378 199,00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5 817,22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3 113 693,38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21 002 706,62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3 113 693,38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21 002 706,62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3 113 693,38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21 002 706,62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2 915 861,74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20 052 238,26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197 831,64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950 468,36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18 143 112 372,55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3 000 327 898,33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15 142 784 474,22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13 446 616,36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56 516 183,64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13 446 616,36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55 708 383,64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10 640 953,30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2 982 362,18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7 658 591,12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10 640 953,30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2 982 362,18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7 658 591,12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58 514 046,70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10 464 254,18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48 049 792,52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58 514 046,70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10 464 254,18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48 049 792,52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11 563 091,49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103 348 008,51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4 973 091,49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42 684 208,51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4 973 091,49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42 684 208,51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4 973 091,49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42 684 208,51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54 948 000,00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54 948 000,00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54 948 000,00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4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3 058 481 900,00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1 654 831 995,55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1 403 649 904,45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1 368 725 300,00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332 999 110,25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1 035 726 189,75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1 368 725 300,00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332 999 110,25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1 035 726 189,75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897 866 200,00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217 265 508,68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680 600 691,32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470 859 100,00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115 733 601,57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355 125 498,43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000 0408 0000000000 400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53 323 885,30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17 024 314,70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53 323 885,30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17 024 314,70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53 323 885,30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17 024 314,70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1 619 408 400,00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1 268 509 000,00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350 899 400,00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1 619 408 400,00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1 268 509 000,00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350 899 400,00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1 619 408 400,00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1 268 509 000,00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350 899 400,00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12 505 733 195,95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1 054 727 364,00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11 451 005 831,95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6 357 154 795,95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562 671 956,63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5 794 482 839,32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6 357 154 795,95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562 671 956,63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5 794 482 839,32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859 490 967,48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859 490 967,48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5 475 578 416,95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561 601 614,19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4 913 976 802,76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22 085 411,52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1 070 342,44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21 015 069,08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492 055 407,37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5 656 522 992,63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492 055 407,37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5 656 522 992,63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6 148 578 400,00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492 055 407,37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5 656 522 992,63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386 727 900,00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43 836 488,98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342 891 411,02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4 894 134,16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29 452 465,84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4 894 134,16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29 452 465,84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3 921 985,98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22 457 914,02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972 148,18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6 994 551,82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352 369 300,00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38 942 354,82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313 426 945,18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352 369 300,00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38 942 354,82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313 426 945,18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38 692 252,80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311 903 247,20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250 102,02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1 523 697,98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1 969 295 176,60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221 922 341,95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1 747 372 834,65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774 922 800,00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137 619 824,36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637 302 975,64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528 958 700,00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94 093 249,31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434 865 450,69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75 765 543,30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330 398 556,70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18 327 706,01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104 390 893,99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43 526 575,05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202 437 524,95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35 048 934,92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153 316 165,08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640 491,00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56 837 200,00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8 356 331,13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48 480 868,87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322 276 876,60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27 898 322,42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294 378 554,18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322 276 876,60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27 898 322,42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294 378 554,18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321 335 576,60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27 888 263,57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293 447 313,03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931 241,15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2 091,29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2 608,71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715 399 000,00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24 027 134,52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691 371 865,48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715 399 000,00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24 027 134,52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691 371 865,48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23 108 897,00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226 591 703,00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465 698 400,00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918 237,52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464 780 162,48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133 684 000,00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27 490 590,00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106 193 410,00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133 684 000,00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27 490 590,00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106 193 410,00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27 490 590,00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92 253 410,00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4 884 379,36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18 123 420,64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3 055 781,39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12 307 418,61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2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15 363 200,00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3 055 781,39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12 307 418,61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1 828 597,97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5 816 002,03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354 635,18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651 864,82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1 728 747,21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489 810,00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1 238 937,21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4 909 352,79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984 152,79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3 925 200,00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11 013 233 875,54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1 002 686 916,79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10 010 546 958,75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1 038 399 879,28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139 477 767,00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898 922 112,28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185 036 379,28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8 576 944,96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176 459 434,32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185 036 379,28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8 576 944,96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176 459 434,32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31 349 700,00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148 254 779,28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8 225 115,06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140 029 664,22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351 829,90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5 080 070,10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147 934 000,00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705 429 500,00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130 900 822,04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574 528 677,96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73 376 400,00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73 376 400,00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73 376 400,00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73 376 400,00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4 722 956,04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27 330 143,96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</w:t>
            </w:r>
            <w:r w:rsidR="002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возмещению причинё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4 722 956,04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27 330 143,96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126 177 866,00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473 822 134,00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126 177 866,00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473 822 134,00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5 028 403 700,00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91 859 352,10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4 936 544 347,90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291 838 400,00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30 326 773,13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261 511 626,87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291 838 400,00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30 326 773,13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261 511 626,87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242 838 400,00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27 379 599,92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215 458 800,08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2 947 173,21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23 052 826,79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2 480 442 600,00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22 429 478,97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2 458 013 121,03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2 480 442 600,00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22 429 478,97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2 458 013 121,03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2 480 442 600,00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22 429 478,97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2 458 013 121,03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2 256 122 700,00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39 103 100,00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2 217 019 600,00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2 256 122 700,00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39 103 100,00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2 217 019 600,00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1 855 504 400,00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39 103 100,00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1 816 401 300,00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400 618 300,00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4 269 685 996,26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633 314 958,67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3 636 371 037,59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3 498 076 267,68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608 173 877,54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2 889 902 390,14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3 498 076 267,68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608 173 877,54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2 889 902 390,14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3 066 987 267,68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469 483 224,21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2 597 504 043,47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138 690 653,33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291 808 746,67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522 719 128,58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601 667,30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522 117 461,28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522 719 128,58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601 667,30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522 117 461,28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522 719 128,58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601 667,30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522 117 461,28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24 539 413,83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7 453 286,17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24 539 413,83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7 453 286,17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24 539 413,83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7 453 286,17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216 897 900,00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676 744 300,00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138 034 839,02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538 709 460,98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70 479 084,32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320 108 715,68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252 173 000,00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44 590 277,79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207 582 722,21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193 660 600,00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36 128 305,52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157 532 294,48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8 461 972,27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50 024 827,73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25 888 806,53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112 525 993,47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21 184 490,59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84 890 809,41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237 226,00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32 034 700,00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4 636 741,94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27 397 958,06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7 629 517,27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52 803 082,73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7 629 517,27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52 803 082,73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7 057 452,94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50 787 647,06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572 064,33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2 015 435,67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3 921 841,71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11 797 658,29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3 921 841,71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11 797 658,29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11 581 296,00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216 307,00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373 075,65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22 007 324,35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373 075,65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11 573 524,35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373 075,65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11 573 524,35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373 075,65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11 573 524,35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258 870,00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11 078 430,00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114 205,65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495 094,35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53 719 233 509,01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11 338 491 692,16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42 380 741 816,85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17 690 931 076,80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3 527 252 443,87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14 163 678 632,93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22 442 740,64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294 869 659,36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22 442 740,64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294 869 659,36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22 442 740,64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294 869 659,36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4 524 319 500,00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148 282 594,76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4 376 036 905,24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4 524 319 500,00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148 282 594,76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4 376 036 905,24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4 524 319 500,00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148 282 594,76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4 376 036 905,24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12 462 663 976,80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3 356 527 108,47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9 106 136 868,33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5 574 168 239,65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1 633 071 611,94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3 941 096 627,71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4 620 613 757,19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1 372 992 771,25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3 247 620 985,94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953 554 482,46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260 078 840,69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693 475 641,77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6 746 854 237,15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1 723 455 496,53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5 023 398 740,62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5 106 382 842,81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1 440 942 061,18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3 665 440 781,63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1 640 471 394,34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282 513 435,35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1 357 957 958,99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141 641 500,00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E45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доходов и (или) возмещение фактически понес</w:t>
            </w:r>
            <w:r w:rsidR="00E4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141 641 500,00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4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386 635 200,00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31 018 669 832,21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6 820 086 691,15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24 198 583 141,06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181 727 719,49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685 752 780,51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181 727 719,49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685 752 780,51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181 727 719,49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685 752 780,51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11 131 488 832,21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1 522 212 040,37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9 609 276 791,84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11 131 488 832,21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1 522 212 040,37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9 609 276 791,84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11 131 488 832,21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1 522 212 040,37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9 609 276 791,84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19 019 700 500,00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5 116 146 931,29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13 903 553 568,71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2 055 278 563,44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564 928 795,50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1 490 349 767,94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1 590 581 225,57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437 058 957,07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1 153 522 268,50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464 697 337,87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127 869 838,43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336 827 499,44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14 566 131 836,56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3 827 935 609,00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10 738 196 227,56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10 181 680 174,43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2 866 145 272,11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7 315 534 902,32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4 384 451 662,13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961 790 336,89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3 422 661 325,24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2 398 290 100,00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723 282 526,79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1 675 007 573,21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4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155 363 000,00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2 242 221 000,00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722 576 426,79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1 519 644 573,21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3 270 534 700,00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733 252 989,52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2 537 281 710,48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3 260 581 500,00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733 252 989,52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2 527 328 510,48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510 024 585,77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1 767 520 414,23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1 113 118 300,00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249 455 700,00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863 662 600,00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167 949 000,00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32 464 259,80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135 484 740,20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996 477 700,00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228 104 625,97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768 373 074,03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971 594 300,00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223 228 403,75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748 365 896,25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67 494 200,00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14 978 983,75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32 679 316,25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849 141 800,00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200 949 420,00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648 192 380,00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11 442 200,00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11 442 200,00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000 0703 0000000000 816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24 294 420,98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161 698 079,02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8 192 543,28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38 414 856,72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8 192 543,28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38 414 856,72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6 532 681,81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29 194 218,19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1 659 061,47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9 130 438,53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3 229 860,03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48 524 639,97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3 229 860,03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48 524 639,97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50 693 100,00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3 003 178,53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47 689 921,47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226 681,50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834 718,50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8 291 400,00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7 241 400,00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11 097 512,62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65 951 487,38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11 097 512,62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65 951 487,38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11 097 512,62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37 629 487,38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28 322 000,00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165 305,05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515 694,95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165 305,05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515 694,95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162 336,00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503 264,00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12 211,00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1 553 105 400,00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233 605 146,64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1 319 500 253,36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171 605 046,18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862 871 953,82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847 652 300,00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139 343 630,20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708 308 669,80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650 752 431,17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112 471 198,61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538 281 232,56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329 873,80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196 549 468,83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26 851 905,39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169 697 563,44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186 824 700,00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32 261 415,98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154 563 284,02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26 084 417,54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117 194 482,46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313 316,00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97 303,10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216 012,90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43 232 484,00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6 079 695,34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37 152 788,66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28 819 048,22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208 800 251,78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28 819 048,22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208 800 251,78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78 642 100,00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27 266 023,44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126 996 776,56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1 553 024,78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3 161 375,22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18 536 700,00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32 980 859,69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228 626 440,31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175 454 282,40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32 568 511,69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142 885 770,71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135 699 200,00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25 815 700,00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109 883 500,00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39 755 082,40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6 752 811,69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33 002 270,71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15 395 717,60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412 348,00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14 983 369,60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15 395 717,60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412 348,00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14 983 369,60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70 757 300,00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70 757 300,00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200 192,55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664 907,45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200 192,55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664 907,45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391 780,00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361 475,45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273 127,45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1 986 400 900,00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361 289 411,84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1 625 111 488,16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1 870 942 600,00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343 507 253,08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1 527 435 346,92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4 304 808,63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22 494 291,37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4 304 808,63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22 494 291,37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3 500 363,19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17 082 636,81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804 445,44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5 411 654,56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189 042 800,00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846 366,46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188 196 433,54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189 042 800,00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846 366,46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188 196 433,54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184 765 900,00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846 366,46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3 430 533,54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1 654 958 600,00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338 356 077,99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1 316 602 522,01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850 632 380,33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165 658 409,10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684 973 971,23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674 199 835,62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154 235 935,62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519 963 900,00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176 432 544,71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11 422 473,48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165 010 071,23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804 126 219,67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172 697 668,89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631 428 550,78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750 213 764,38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170 740 168,89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579 473 595,49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53 912 455,29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51 954 955,29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17 782 158,76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97 676 141,24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99 077 400,00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17 050 653,99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82 026 746,01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10 674 925,36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52 663 174,64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8 550 867,25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39 896 832,75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200 379,00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2 065 237,11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12 565 962,89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6 375 728,63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29 363 571,37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5 266 981,00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21 995 119,00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1 108 747,63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7 124 452,37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693 273,77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13 741 526,23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693 273,77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13 741 526,23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529 303,17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13 364 696,83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376 829,40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117 869,00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117 869,00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114 769,00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3 425 777 523,40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830 090 475,55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2 595 687 047,85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35 858 503,98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103 846 596,02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335 341,30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1 047 858,70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335 341,30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1 047 858,70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335 341,30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1 047 858,70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35 523 162,68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102 798 737,32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35 523 162,68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102 798 737,32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35 523 162,68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102 798 737,32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1 454 048 400,00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464 863 026,94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989 185 373,06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74 811,27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12 438 988,73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74 811,27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12 438 988,73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74 811,27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12 438 988,73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575 828 600,00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215 202 880,24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360 625 719,76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156 191 000,00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200 869 000,00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156 191 000,00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200 869 000,00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53 129 880,24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128 530 019,76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53 129 880,24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119 587 219,76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8 942 800,00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31 126 700,00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319 694 900,00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69 924 861,52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249 770 038,48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89 070 299,08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16 314 508,58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72 755 790,50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89 070 299,08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16 314 508,58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72 755 790,50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158 362 200,92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24 123 452,94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134 238 747,98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158 362 200,92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24 123 452,94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134 238 747,98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29 486 900,00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42 775 500,00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29 486 900,00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42 775 500,00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179 660 473,91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366 350 626,09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179 660 473,91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366 350 626,09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4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546 011 100,00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179 660 473,91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366 350 626,09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1 445 801 023,40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281 130 791,01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1 164 670 232,39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977 041,35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5 316 358,65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977 041,35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5 316 358,65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977 041,35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5 316 358,65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857 939 300,00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280 153 749,66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577 785 550,34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000 1004 0000000000 320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857 939 300,00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280 153 749,66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577 785 550,34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269 911 900,00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177 175 866,77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92 736 033,23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588 027 400,00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102 977 882,89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485 049 517,11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581 568 323,40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48 238 153,62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337 984 846,38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32 987 380,23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156 322 719,77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3 043 976,11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24 208 323,89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2 468 168,64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18 462 731,36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575 807,47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5 745 592,53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162 057 800,00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29 943 404,12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132 114 395,88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124 368 100,00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24 094 258,96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100 273 841,04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186 640,80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113 469,80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37 503 059,20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5 775 974,16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31 727 085,04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136 824 500,00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6 411 208,39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130 413 291,61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136 824 500,00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6 411 208,39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130 413 291,61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6 128 843,20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128 110 856,80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282 365,19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2 302 434,81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8 777 272,00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51 041 728,00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8 777 272,00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51 041 728,00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8 777 272,00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51 041 728,00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207 107,00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207 107,00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59 328,00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178 872,00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28 235,00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2 365 130 309,51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317 876 440,72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2 047 253 868,79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1 285 721 509,51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78 071 244,78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1 207 650 264,73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8 563 917,51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43 494 682,49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8 563 917,51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43 494 682,49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8 563 917,51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43 494 682,49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863 596 800,00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9 447 074,27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854 149 725,73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863 596 800,00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9 447 074,27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854 149 725,73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863 596 800,00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9 447 074,27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854 149 725,73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370 066 109,51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60 060 253,00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310 005 856,51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370 066 109,51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60 060 253,00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310 005 856,51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44 111 153,00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182 252 947,00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143 702 009,51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15 949 100,00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127 752 909,51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12 573 213,75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43 865 886,25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12 573 213,75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43 865 886,25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12 573 213,75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43 865 886,25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12 573 213,75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42 279 186,25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973 849 000,00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218 786 979,13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755 062 020,87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973 849 000,00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218 786 979,13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755 062 020,87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949 136 500,00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212 770 879,13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736 365 620,87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857 274 500,00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201 401 164,13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655 873 335,87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11 369 715,00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80 492 285,00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18 696 400,00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21 170 800,00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15 154 700,00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8 445 003,06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40 675 696,94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7 782 985,21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36 591 414,79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8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3 182 713,34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16 431 886,66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2 557 177,19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12 507 822,81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625 536,15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3 924 063,85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4 600 271,87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20 159 528,13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3 743 790,48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15 179 409,52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856 481,39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4 858 318,61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659 856,85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4 077 743,15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659 856,85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4 077 743,15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659 856,85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4 077 743,15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337 281 600,00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40 286 234,00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296 995 366,00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30 146 760,00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213 554 940,00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D8" w:rsidRDefault="008E19D8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30 146 760,00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9" w:rsidRDefault="00915B89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213 554 940,00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30 146 760,00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213 554 940,00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30 146 760,00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213 554 940,00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10 139 474,00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83 440 426,00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10 139 474,00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83 440 426,00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10 139 474,00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83 440 426,00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10 139 474,00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83 440 426,00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50 544 800,00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50 544 800,00</w:t>
            </w:r>
          </w:p>
        </w:tc>
      </w:tr>
      <w:tr w:rsidR="00AF129E" w:rsidRPr="00AF129E" w:rsidTr="00AF129E">
        <w:tc>
          <w:tcPr>
            <w:tcW w:w="4269" w:type="dxa"/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50 544 800,00</w:t>
            </w:r>
          </w:p>
        </w:tc>
      </w:tr>
      <w:tr w:rsidR="00AF129E" w:rsidRPr="00AF129E" w:rsidTr="00AF129E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55 888 800,00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5 344 000,00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50 544 800,00</w:t>
            </w:r>
          </w:p>
        </w:tc>
      </w:tr>
      <w:tr w:rsidR="00AF129E" w:rsidRPr="00AF129E" w:rsidTr="00AF129E">
        <w:tc>
          <w:tcPr>
            <w:tcW w:w="42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F129E" w:rsidRPr="00AF129E" w:rsidRDefault="00AF129E" w:rsidP="00A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-6 078 658 334,15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-1 155 423 534,81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F129E" w:rsidRPr="00AF129E" w:rsidRDefault="00AF129E" w:rsidP="00AF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-4 923 234 799,34</w:t>
            </w:r>
          </w:p>
        </w:tc>
      </w:tr>
    </w:tbl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A0C" w:rsidRDefault="003B2A0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AF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2B3F99" w:rsidRPr="002B3F99" w:rsidTr="002C46DC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F99" w:rsidRPr="002B3F99" w:rsidRDefault="002B3F99" w:rsidP="002C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3F99" w:rsidRPr="002B3F99" w:rsidTr="00E268E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</w:t>
            </w:r>
            <w:r w:rsidR="00AC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6 078 658 334,15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1 155 423 534,81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4 923 234 799,34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565435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654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источн</w:t>
            </w:r>
            <w:r w:rsidR="00565435" w:rsidRPr="005654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ики внутреннего финансирования, </w:t>
            </w:r>
            <w:r w:rsidRPr="005654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496 250 000,00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000 01010000000000000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000 01010000000000800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000 01010000040000810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1 440 000 000,00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-623 750 000,00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5 582 408 334,15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1 155 423 534,81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4 426 984 799,34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2F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5 582 408 334,15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1 155 423 534,81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4 426 984 799,34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680465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–</w:t>
            </w:r>
            <w:r w:rsidR="002B3F99"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  <w:r w:rsidR="002B3F99"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-92 083 467 875,41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-16 941 690 607,01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-75 141 777 268,40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-92 083 467 875,41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-16 941 690 607,01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-75 141 777 268,40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-92 083 467 875,41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-16 941 690 607,01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-75 141 777 268,40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-92 083 467 875,41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-16 941 690 607,01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-75 141 777 268,40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</w:t>
            </w:r>
            <w:r w:rsidR="0068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97 665 876 209,56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18 097 114 141,82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79 568 762 067,74</w:t>
            </w:r>
          </w:p>
        </w:tc>
      </w:tr>
      <w:tr w:rsidR="002B3F99" w:rsidRPr="002B3F99" w:rsidTr="00E268E5">
        <w:tc>
          <w:tcPr>
            <w:tcW w:w="4253" w:type="dxa"/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97 665 876 209,56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18 097 114 141,82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79 568 762 067,74</w:t>
            </w:r>
          </w:p>
        </w:tc>
      </w:tr>
      <w:tr w:rsidR="002B3F99" w:rsidRPr="002B3F99" w:rsidTr="00E268E5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000 01050201000000610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97 665 876 209,56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18 097 114 141,82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15E78" w:rsidRDefault="00315E78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79 568 762 067,74</w:t>
            </w:r>
          </w:p>
        </w:tc>
      </w:tr>
      <w:tr w:rsidR="002B3F99" w:rsidRPr="002B3F99" w:rsidTr="00E268E5"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B3F99" w:rsidRPr="002B3F99" w:rsidRDefault="002B3F99" w:rsidP="00E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97 665 876 209,56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18 097 114 141,82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B3F99" w:rsidRPr="002B3F99" w:rsidRDefault="002B3F99" w:rsidP="00E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79 568 762 067,74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6744BE">
        <w:rPr>
          <w:rFonts w:ascii="Times New Roman" w:hAnsi="Times New Roman" w:cs="Times New Roman"/>
          <w:spacing w:val="-2"/>
          <w:sz w:val="28"/>
          <w:szCs w:val="28"/>
        </w:rPr>
        <w:t>первый квартал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DA684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DA0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22788">
        <w:rPr>
          <w:rFonts w:ascii="Times New Roman" w:hAnsi="Times New Roman" w:cs="Times New Roman"/>
          <w:sz w:val="28"/>
          <w:szCs w:val="28"/>
        </w:rPr>
        <w:t xml:space="preserve">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5D" w:rsidRDefault="00D5655D" w:rsidP="00547480">
      <w:pPr>
        <w:spacing w:after="0" w:line="240" w:lineRule="auto"/>
      </w:pPr>
      <w:r>
        <w:separator/>
      </w:r>
    </w:p>
  </w:endnote>
  <w:endnote w:type="continuationSeparator" w:id="0">
    <w:p w:rsidR="00D5655D" w:rsidRDefault="00D5655D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5D" w:rsidRDefault="00D5655D" w:rsidP="00547480">
      <w:pPr>
        <w:spacing w:after="0" w:line="240" w:lineRule="auto"/>
      </w:pPr>
      <w:r>
        <w:separator/>
      </w:r>
    </w:p>
  </w:footnote>
  <w:footnote w:type="continuationSeparator" w:id="0">
    <w:p w:rsidR="00D5655D" w:rsidRDefault="00D5655D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10C7" w:rsidRPr="00547480" w:rsidRDefault="008110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A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10C7" w:rsidRDefault="008110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0612"/>
    <w:rsid w:val="000011F4"/>
    <w:rsid w:val="000045CB"/>
    <w:rsid w:val="000055F4"/>
    <w:rsid w:val="000114C8"/>
    <w:rsid w:val="000143EF"/>
    <w:rsid w:val="00015470"/>
    <w:rsid w:val="00020300"/>
    <w:rsid w:val="000228E1"/>
    <w:rsid w:val="00022D89"/>
    <w:rsid w:val="000246F5"/>
    <w:rsid w:val="00025850"/>
    <w:rsid w:val="00026144"/>
    <w:rsid w:val="00026850"/>
    <w:rsid w:val="00026C94"/>
    <w:rsid w:val="00026F07"/>
    <w:rsid w:val="0002741A"/>
    <w:rsid w:val="000308B7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3EC0"/>
    <w:rsid w:val="00067402"/>
    <w:rsid w:val="00067DDA"/>
    <w:rsid w:val="0007040B"/>
    <w:rsid w:val="00070FE5"/>
    <w:rsid w:val="00073636"/>
    <w:rsid w:val="0007446D"/>
    <w:rsid w:val="000763AD"/>
    <w:rsid w:val="00076A0A"/>
    <w:rsid w:val="00080091"/>
    <w:rsid w:val="00080C9D"/>
    <w:rsid w:val="00082D80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44B"/>
    <w:rsid w:val="00093A5A"/>
    <w:rsid w:val="00093C5D"/>
    <w:rsid w:val="00094C8C"/>
    <w:rsid w:val="000950F8"/>
    <w:rsid w:val="00096695"/>
    <w:rsid w:val="00096726"/>
    <w:rsid w:val="00096AD2"/>
    <w:rsid w:val="000A01F8"/>
    <w:rsid w:val="000A04F6"/>
    <w:rsid w:val="000A3F55"/>
    <w:rsid w:val="000A47BB"/>
    <w:rsid w:val="000A67FF"/>
    <w:rsid w:val="000A68C6"/>
    <w:rsid w:val="000B175D"/>
    <w:rsid w:val="000B3378"/>
    <w:rsid w:val="000B3612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D1517"/>
    <w:rsid w:val="000D4708"/>
    <w:rsid w:val="000D627B"/>
    <w:rsid w:val="000D7929"/>
    <w:rsid w:val="000E28FA"/>
    <w:rsid w:val="000E36D3"/>
    <w:rsid w:val="000E37E3"/>
    <w:rsid w:val="000E49BA"/>
    <w:rsid w:val="000E5078"/>
    <w:rsid w:val="000E5195"/>
    <w:rsid w:val="000E6715"/>
    <w:rsid w:val="000E7673"/>
    <w:rsid w:val="000F35D3"/>
    <w:rsid w:val="000F4F04"/>
    <w:rsid w:val="000F5A7E"/>
    <w:rsid w:val="000F5F07"/>
    <w:rsid w:val="000F6646"/>
    <w:rsid w:val="00106F28"/>
    <w:rsid w:val="00107DCA"/>
    <w:rsid w:val="0011039F"/>
    <w:rsid w:val="00110DD6"/>
    <w:rsid w:val="00112107"/>
    <w:rsid w:val="00113A7C"/>
    <w:rsid w:val="00113F92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43795"/>
    <w:rsid w:val="00143AFA"/>
    <w:rsid w:val="00143F02"/>
    <w:rsid w:val="00145209"/>
    <w:rsid w:val="00145908"/>
    <w:rsid w:val="00145968"/>
    <w:rsid w:val="00146E4B"/>
    <w:rsid w:val="00146FA1"/>
    <w:rsid w:val="001518D0"/>
    <w:rsid w:val="00153EE9"/>
    <w:rsid w:val="00154C34"/>
    <w:rsid w:val="001572A9"/>
    <w:rsid w:val="0016005C"/>
    <w:rsid w:val="00160586"/>
    <w:rsid w:val="0016391A"/>
    <w:rsid w:val="00164E99"/>
    <w:rsid w:val="00166FBF"/>
    <w:rsid w:val="00167A7B"/>
    <w:rsid w:val="00167AD3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615B"/>
    <w:rsid w:val="00186B22"/>
    <w:rsid w:val="00190395"/>
    <w:rsid w:val="00191058"/>
    <w:rsid w:val="00191714"/>
    <w:rsid w:val="001925BE"/>
    <w:rsid w:val="00192771"/>
    <w:rsid w:val="001949FE"/>
    <w:rsid w:val="00195A2F"/>
    <w:rsid w:val="0019752B"/>
    <w:rsid w:val="00197ED8"/>
    <w:rsid w:val="001A33C6"/>
    <w:rsid w:val="001A5C04"/>
    <w:rsid w:val="001A6A00"/>
    <w:rsid w:val="001A6F37"/>
    <w:rsid w:val="001A7410"/>
    <w:rsid w:val="001B1BAF"/>
    <w:rsid w:val="001B20DE"/>
    <w:rsid w:val="001B2156"/>
    <w:rsid w:val="001B2EB5"/>
    <w:rsid w:val="001B61D8"/>
    <w:rsid w:val="001B7256"/>
    <w:rsid w:val="001C0546"/>
    <w:rsid w:val="001C293F"/>
    <w:rsid w:val="001C2B8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467"/>
    <w:rsid w:val="001F179D"/>
    <w:rsid w:val="001F1903"/>
    <w:rsid w:val="00200072"/>
    <w:rsid w:val="00200B8D"/>
    <w:rsid w:val="00201BD1"/>
    <w:rsid w:val="00202FD6"/>
    <w:rsid w:val="0020521F"/>
    <w:rsid w:val="002059E8"/>
    <w:rsid w:val="002122A3"/>
    <w:rsid w:val="00214C63"/>
    <w:rsid w:val="00216040"/>
    <w:rsid w:val="002179B6"/>
    <w:rsid w:val="0022392E"/>
    <w:rsid w:val="00224972"/>
    <w:rsid w:val="0022678F"/>
    <w:rsid w:val="0022690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B18"/>
    <w:rsid w:val="00274A7B"/>
    <w:rsid w:val="00275B09"/>
    <w:rsid w:val="00276B20"/>
    <w:rsid w:val="002835C3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61B0"/>
    <w:rsid w:val="00296F70"/>
    <w:rsid w:val="002A07A3"/>
    <w:rsid w:val="002A1C4B"/>
    <w:rsid w:val="002A3562"/>
    <w:rsid w:val="002A4721"/>
    <w:rsid w:val="002A5B97"/>
    <w:rsid w:val="002A75EA"/>
    <w:rsid w:val="002B0491"/>
    <w:rsid w:val="002B224E"/>
    <w:rsid w:val="002B3F99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46DC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251"/>
    <w:rsid w:val="002D56D3"/>
    <w:rsid w:val="002D647F"/>
    <w:rsid w:val="002D6CC7"/>
    <w:rsid w:val="002D7752"/>
    <w:rsid w:val="002D7A86"/>
    <w:rsid w:val="002D7C1C"/>
    <w:rsid w:val="002D7D85"/>
    <w:rsid w:val="002E0746"/>
    <w:rsid w:val="002E0D8F"/>
    <w:rsid w:val="002E2010"/>
    <w:rsid w:val="002E2E4F"/>
    <w:rsid w:val="002E30F0"/>
    <w:rsid w:val="002E3C1D"/>
    <w:rsid w:val="002E4A71"/>
    <w:rsid w:val="002E5156"/>
    <w:rsid w:val="002E6C81"/>
    <w:rsid w:val="002F12F2"/>
    <w:rsid w:val="002F1521"/>
    <w:rsid w:val="002F3275"/>
    <w:rsid w:val="002F33E8"/>
    <w:rsid w:val="002F4719"/>
    <w:rsid w:val="002F547F"/>
    <w:rsid w:val="00301CEC"/>
    <w:rsid w:val="00302CD5"/>
    <w:rsid w:val="00304A2E"/>
    <w:rsid w:val="00305169"/>
    <w:rsid w:val="00306392"/>
    <w:rsid w:val="00306A43"/>
    <w:rsid w:val="0031193C"/>
    <w:rsid w:val="003128C0"/>
    <w:rsid w:val="00315E78"/>
    <w:rsid w:val="00315F7F"/>
    <w:rsid w:val="00317494"/>
    <w:rsid w:val="00317533"/>
    <w:rsid w:val="00322473"/>
    <w:rsid w:val="003226FD"/>
    <w:rsid w:val="00323A34"/>
    <w:rsid w:val="00324199"/>
    <w:rsid w:val="00331E0F"/>
    <w:rsid w:val="003337C8"/>
    <w:rsid w:val="00333D0D"/>
    <w:rsid w:val="0033408F"/>
    <w:rsid w:val="00335573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88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25B9"/>
    <w:rsid w:val="00372B95"/>
    <w:rsid w:val="00372E75"/>
    <w:rsid w:val="0037310D"/>
    <w:rsid w:val="00373D0B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A4CD5"/>
    <w:rsid w:val="003B041F"/>
    <w:rsid w:val="003B0BC7"/>
    <w:rsid w:val="003B0F68"/>
    <w:rsid w:val="003B143E"/>
    <w:rsid w:val="003B2A0C"/>
    <w:rsid w:val="003B3750"/>
    <w:rsid w:val="003B3B45"/>
    <w:rsid w:val="003B6BA7"/>
    <w:rsid w:val="003B71B9"/>
    <w:rsid w:val="003C09E6"/>
    <w:rsid w:val="003C3D08"/>
    <w:rsid w:val="003D0511"/>
    <w:rsid w:val="003D0EF6"/>
    <w:rsid w:val="003D1747"/>
    <w:rsid w:val="003D2CFB"/>
    <w:rsid w:val="003D3B12"/>
    <w:rsid w:val="003D4B13"/>
    <w:rsid w:val="003D775E"/>
    <w:rsid w:val="003E1914"/>
    <w:rsid w:val="003E2145"/>
    <w:rsid w:val="003E513C"/>
    <w:rsid w:val="003E67E4"/>
    <w:rsid w:val="003F0127"/>
    <w:rsid w:val="003F0CCD"/>
    <w:rsid w:val="003F149D"/>
    <w:rsid w:val="003F2146"/>
    <w:rsid w:val="003F3A58"/>
    <w:rsid w:val="003F3A69"/>
    <w:rsid w:val="003F5D71"/>
    <w:rsid w:val="00400923"/>
    <w:rsid w:val="00400B19"/>
    <w:rsid w:val="00400B5A"/>
    <w:rsid w:val="00401742"/>
    <w:rsid w:val="00403743"/>
    <w:rsid w:val="00405609"/>
    <w:rsid w:val="00405A51"/>
    <w:rsid w:val="004138E1"/>
    <w:rsid w:val="0041671C"/>
    <w:rsid w:val="0042224A"/>
    <w:rsid w:val="00423F2D"/>
    <w:rsid w:val="00423FF7"/>
    <w:rsid w:val="00424CA9"/>
    <w:rsid w:val="00425A86"/>
    <w:rsid w:val="004260F8"/>
    <w:rsid w:val="004268A6"/>
    <w:rsid w:val="00426EF4"/>
    <w:rsid w:val="00427A2C"/>
    <w:rsid w:val="00427B4C"/>
    <w:rsid w:val="00430593"/>
    <w:rsid w:val="004309D4"/>
    <w:rsid w:val="00431BF7"/>
    <w:rsid w:val="00431EAB"/>
    <w:rsid w:val="004333AE"/>
    <w:rsid w:val="00434C36"/>
    <w:rsid w:val="00441B11"/>
    <w:rsid w:val="004423E2"/>
    <w:rsid w:val="004427C6"/>
    <w:rsid w:val="0044282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72005"/>
    <w:rsid w:val="0047209F"/>
    <w:rsid w:val="00473580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52C9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134C"/>
    <w:rsid w:val="004C1E13"/>
    <w:rsid w:val="004C40D6"/>
    <w:rsid w:val="004C449E"/>
    <w:rsid w:val="004C5E81"/>
    <w:rsid w:val="004C5F9A"/>
    <w:rsid w:val="004C744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E6C62"/>
    <w:rsid w:val="004E7A69"/>
    <w:rsid w:val="004F021F"/>
    <w:rsid w:val="004F2237"/>
    <w:rsid w:val="004F2847"/>
    <w:rsid w:val="004F2B80"/>
    <w:rsid w:val="004F4542"/>
    <w:rsid w:val="0050257F"/>
    <w:rsid w:val="0050408D"/>
    <w:rsid w:val="00505A0D"/>
    <w:rsid w:val="00505E2E"/>
    <w:rsid w:val="00506A5A"/>
    <w:rsid w:val="00507346"/>
    <w:rsid w:val="005102EF"/>
    <w:rsid w:val="00510E40"/>
    <w:rsid w:val="005149FB"/>
    <w:rsid w:val="00516327"/>
    <w:rsid w:val="0051698E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0F7F"/>
    <w:rsid w:val="0054150B"/>
    <w:rsid w:val="0054151C"/>
    <w:rsid w:val="0054241B"/>
    <w:rsid w:val="0054450C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314E"/>
    <w:rsid w:val="00563831"/>
    <w:rsid w:val="005641B1"/>
    <w:rsid w:val="00564E1A"/>
    <w:rsid w:val="00565435"/>
    <w:rsid w:val="00571EDC"/>
    <w:rsid w:val="005752CF"/>
    <w:rsid w:val="005813C5"/>
    <w:rsid w:val="005815A9"/>
    <w:rsid w:val="00582838"/>
    <w:rsid w:val="005869B6"/>
    <w:rsid w:val="00590689"/>
    <w:rsid w:val="0059112D"/>
    <w:rsid w:val="005926EA"/>
    <w:rsid w:val="0059285D"/>
    <w:rsid w:val="00592904"/>
    <w:rsid w:val="00593893"/>
    <w:rsid w:val="00593DC0"/>
    <w:rsid w:val="005956FF"/>
    <w:rsid w:val="0059620A"/>
    <w:rsid w:val="00596223"/>
    <w:rsid w:val="00597CEE"/>
    <w:rsid w:val="005A2FC0"/>
    <w:rsid w:val="005A33F8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13D3"/>
    <w:rsid w:val="005B235A"/>
    <w:rsid w:val="005B3080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7302"/>
    <w:rsid w:val="005D743B"/>
    <w:rsid w:val="005E0B91"/>
    <w:rsid w:val="005E13F4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584D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914"/>
    <w:rsid w:val="00650BA2"/>
    <w:rsid w:val="00651258"/>
    <w:rsid w:val="00651A86"/>
    <w:rsid w:val="00651BEB"/>
    <w:rsid w:val="0065553A"/>
    <w:rsid w:val="006569E4"/>
    <w:rsid w:val="00662520"/>
    <w:rsid w:val="00664CA6"/>
    <w:rsid w:val="0066573E"/>
    <w:rsid w:val="00665906"/>
    <w:rsid w:val="00666112"/>
    <w:rsid w:val="00667F02"/>
    <w:rsid w:val="00670269"/>
    <w:rsid w:val="00670AE9"/>
    <w:rsid w:val="00671B48"/>
    <w:rsid w:val="00672F1E"/>
    <w:rsid w:val="00673B15"/>
    <w:rsid w:val="006744BE"/>
    <w:rsid w:val="00674A59"/>
    <w:rsid w:val="00676043"/>
    <w:rsid w:val="006772F1"/>
    <w:rsid w:val="00677EA0"/>
    <w:rsid w:val="00680465"/>
    <w:rsid w:val="006818BE"/>
    <w:rsid w:val="00681B45"/>
    <w:rsid w:val="006930C3"/>
    <w:rsid w:val="00693C57"/>
    <w:rsid w:val="00695C84"/>
    <w:rsid w:val="00696B89"/>
    <w:rsid w:val="006A32F3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C745E"/>
    <w:rsid w:val="006D138F"/>
    <w:rsid w:val="006D5C93"/>
    <w:rsid w:val="006D6339"/>
    <w:rsid w:val="006E15A0"/>
    <w:rsid w:val="006E185E"/>
    <w:rsid w:val="006E1F2A"/>
    <w:rsid w:val="006E224D"/>
    <w:rsid w:val="006E5323"/>
    <w:rsid w:val="006E56E3"/>
    <w:rsid w:val="006E5A56"/>
    <w:rsid w:val="006E79C0"/>
    <w:rsid w:val="006F0528"/>
    <w:rsid w:val="006F38DB"/>
    <w:rsid w:val="006F671F"/>
    <w:rsid w:val="006F7F4A"/>
    <w:rsid w:val="0070057D"/>
    <w:rsid w:val="00704634"/>
    <w:rsid w:val="00704F60"/>
    <w:rsid w:val="007058DF"/>
    <w:rsid w:val="00711CF3"/>
    <w:rsid w:val="007122F3"/>
    <w:rsid w:val="007127EE"/>
    <w:rsid w:val="0071355A"/>
    <w:rsid w:val="00713687"/>
    <w:rsid w:val="00715767"/>
    <w:rsid w:val="00716D21"/>
    <w:rsid w:val="0071724B"/>
    <w:rsid w:val="00721FAA"/>
    <w:rsid w:val="00722788"/>
    <w:rsid w:val="00723912"/>
    <w:rsid w:val="00724963"/>
    <w:rsid w:val="007272C0"/>
    <w:rsid w:val="007330AF"/>
    <w:rsid w:val="00734526"/>
    <w:rsid w:val="00736384"/>
    <w:rsid w:val="007365DA"/>
    <w:rsid w:val="00737A6B"/>
    <w:rsid w:val="00740DF4"/>
    <w:rsid w:val="00742D78"/>
    <w:rsid w:val="0074450B"/>
    <w:rsid w:val="00744B7F"/>
    <w:rsid w:val="007529AF"/>
    <w:rsid w:val="00752DD0"/>
    <w:rsid w:val="00754219"/>
    <w:rsid w:val="00756C07"/>
    <w:rsid w:val="00760EBC"/>
    <w:rsid w:val="007611AC"/>
    <w:rsid w:val="007618E6"/>
    <w:rsid w:val="00761DBF"/>
    <w:rsid w:val="0076327D"/>
    <w:rsid w:val="00765734"/>
    <w:rsid w:val="007662F4"/>
    <w:rsid w:val="007662F5"/>
    <w:rsid w:val="0077241A"/>
    <w:rsid w:val="00775C9C"/>
    <w:rsid w:val="00777DCF"/>
    <w:rsid w:val="00780019"/>
    <w:rsid w:val="00782B62"/>
    <w:rsid w:val="00785CA3"/>
    <w:rsid w:val="00786E79"/>
    <w:rsid w:val="00792AF6"/>
    <w:rsid w:val="00793DD5"/>
    <w:rsid w:val="00793FDA"/>
    <w:rsid w:val="00795E54"/>
    <w:rsid w:val="00796154"/>
    <w:rsid w:val="00796AF7"/>
    <w:rsid w:val="007A1419"/>
    <w:rsid w:val="007A44DD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AF8"/>
    <w:rsid w:val="007D00F6"/>
    <w:rsid w:val="007D0B7E"/>
    <w:rsid w:val="007D2775"/>
    <w:rsid w:val="007D2A07"/>
    <w:rsid w:val="007D35D9"/>
    <w:rsid w:val="007D3FFD"/>
    <w:rsid w:val="007D676F"/>
    <w:rsid w:val="007D7B3F"/>
    <w:rsid w:val="007E17B8"/>
    <w:rsid w:val="007E18C5"/>
    <w:rsid w:val="007E211E"/>
    <w:rsid w:val="007E3D91"/>
    <w:rsid w:val="007E6E69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8005CA"/>
    <w:rsid w:val="00800BC4"/>
    <w:rsid w:val="00800DAE"/>
    <w:rsid w:val="008014BE"/>
    <w:rsid w:val="00804F1B"/>
    <w:rsid w:val="008057D9"/>
    <w:rsid w:val="00805938"/>
    <w:rsid w:val="00806139"/>
    <w:rsid w:val="008110C7"/>
    <w:rsid w:val="00811449"/>
    <w:rsid w:val="008127EE"/>
    <w:rsid w:val="00813FD5"/>
    <w:rsid w:val="0081515A"/>
    <w:rsid w:val="00815339"/>
    <w:rsid w:val="00816607"/>
    <w:rsid w:val="00816CAA"/>
    <w:rsid w:val="00817E37"/>
    <w:rsid w:val="00817EA9"/>
    <w:rsid w:val="00820085"/>
    <w:rsid w:val="008205D4"/>
    <w:rsid w:val="0082136C"/>
    <w:rsid w:val="00822296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7AB"/>
    <w:rsid w:val="00837CC4"/>
    <w:rsid w:val="0084428A"/>
    <w:rsid w:val="008442F5"/>
    <w:rsid w:val="008445DB"/>
    <w:rsid w:val="0084502A"/>
    <w:rsid w:val="00847021"/>
    <w:rsid w:val="00854005"/>
    <w:rsid w:val="00854BCE"/>
    <w:rsid w:val="00855415"/>
    <w:rsid w:val="00856928"/>
    <w:rsid w:val="00856CB9"/>
    <w:rsid w:val="00860D42"/>
    <w:rsid w:val="00862117"/>
    <w:rsid w:val="0086372F"/>
    <w:rsid w:val="008658A7"/>
    <w:rsid w:val="008704F4"/>
    <w:rsid w:val="00870D42"/>
    <w:rsid w:val="008730DB"/>
    <w:rsid w:val="00873569"/>
    <w:rsid w:val="00873E60"/>
    <w:rsid w:val="00873E9A"/>
    <w:rsid w:val="008742E1"/>
    <w:rsid w:val="008749D7"/>
    <w:rsid w:val="00880D15"/>
    <w:rsid w:val="00881093"/>
    <w:rsid w:val="0088278F"/>
    <w:rsid w:val="00882A6C"/>
    <w:rsid w:val="008836EF"/>
    <w:rsid w:val="008871D9"/>
    <w:rsid w:val="00890BF5"/>
    <w:rsid w:val="00891701"/>
    <w:rsid w:val="00891CAF"/>
    <w:rsid w:val="00896131"/>
    <w:rsid w:val="00896A4D"/>
    <w:rsid w:val="00896C08"/>
    <w:rsid w:val="008A0271"/>
    <w:rsid w:val="008A08F4"/>
    <w:rsid w:val="008A14CC"/>
    <w:rsid w:val="008A168A"/>
    <w:rsid w:val="008A1D56"/>
    <w:rsid w:val="008A3151"/>
    <w:rsid w:val="008A4AF8"/>
    <w:rsid w:val="008A61AB"/>
    <w:rsid w:val="008B036C"/>
    <w:rsid w:val="008B05C1"/>
    <w:rsid w:val="008B2ECD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D8"/>
    <w:rsid w:val="008E19EC"/>
    <w:rsid w:val="008E460E"/>
    <w:rsid w:val="008F038C"/>
    <w:rsid w:val="008F073C"/>
    <w:rsid w:val="008F4195"/>
    <w:rsid w:val="008F5329"/>
    <w:rsid w:val="008F720D"/>
    <w:rsid w:val="00900A41"/>
    <w:rsid w:val="00900C24"/>
    <w:rsid w:val="00901496"/>
    <w:rsid w:val="00901B87"/>
    <w:rsid w:val="00903510"/>
    <w:rsid w:val="009075FA"/>
    <w:rsid w:val="00910122"/>
    <w:rsid w:val="00915B89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1CD2"/>
    <w:rsid w:val="009551F2"/>
    <w:rsid w:val="0095669E"/>
    <w:rsid w:val="00960503"/>
    <w:rsid w:val="00960BB6"/>
    <w:rsid w:val="00965773"/>
    <w:rsid w:val="00971818"/>
    <w:rsid w:val="00972359"/>
    <w:rsid w:val="0097262F"/>
    <w:rsid w:val="00972DE2"/>
    <w:rsid w:val="00976E01"/>
    <w:rsid w:val="00982635"/>
    <w:rsid w:val="0098342F"/>
    <w:rsid w:val="0098506D"/>
    <w:rsid w:val="00986060"/>
    <w:rsid w:val="00986C27"/>
    <w:rsid w:val="0098766F"/>
    <w:rsid w:val="009907E3"/>
    <w:rsid w:val="00993DD5"/>
    <w:rsid w:val="00995279"/>
    <w:rsid w:val="00995508"/>
    <w:rsid w:val="00995AE3"/>
    <w:rsid w:val="00997EBA"/>
    <w:rsid w:val="009A1C09"/>
    <w:rsid w:val="009A340D"/>
    <w:rsid w:val="009A3A84"/>
    <w:rsid w:val="009A3A95"/>
    <w:rsid w:val="009A5A1F"/>
    <w:rsid w:val="009A607E"/>
    <w:rsid w:val="009A7C8B"/>
    <w:rsid w:val="009B04CC"/>
    <w:rsid w:val="009B09E8"/>
    <w:rsid w:val="009B0A7B"/>
    <w:rsid w:val="009B1D74"/>
    <w:rsid w:val="009B21EE"/>
    <w:rsid w:val="009B5CC4"/>
    <w:rsid w:val="009B728F"/>
    <w:rsid w:val="009C056D"/>
    <w:rsid w:val="009C0C57"/>
    <w:rsid w:val="009C2C04"/>
    <w:rsid w:val="009C3C4A"/>
    <w:rsid w:val="009C60F3"/>
    <w:rsid w:val="009C6636"/>
    <w:rsid w:val="009C7C1D"/>
    <w:rsid w:val="009D0329"/>
    <w:rsid w:val="009D0D34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F015B"/>
    <w:rsid w:val="009F287F"/>
    <w:rsid w:val="009F35EB"/>
    <w:rsid w:val="009F362F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565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17E83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1C51"/>
    <w:rsid w:val="00A443E0"/>
    <w:rsid w:val="00A46284"/>
    <w:rsid w:val="00A46BF5"/>
    <w:rsid w:val="00A4740B"/>
    <w:rsid w:val="00A4753B"/>
    <w:rsid w:val="00A51CDA"/>
    <w:rsid w:val="00A54745"/>
    <w:rsid w:val="00A5501D"/>
    <w:rsid w:val="00A556DF"/>
    <w:rsid w:val="00A56CD1"/>
    <w:rsid w:val="00A62CCF"/>
    <w:rsid w:val="00A70700"/>
    <w:rsid w:val="00A729E7"/>
    <w:rsid w:val="00A74272"/>
    <w:rsid w:val="00A744FA"/>
    <w:rsid w:val="00A7715C"/>
    <w:rsid w:val="00A7747F"/>
    <w:rsid w:val="00A80A93"/>
    <w:rsid w:val="00A836A0"/>
    <w:rsid w:val="00A85588"/>
    <w:rsid w:val="00A92777"/>
    <w:rsid w:val="00A93B22"/>
    <w:rsid w:val="00A943A4"/>
    <w:rsid w:val="00A94ED5"/>
    <w:rsid w:val="00A956AC"/>
    <w:rsid w:val="00AA3C46"/>
    <w:rsid w:val="00AA4360"/>
    <w:rsid w:val="00AA5232"/>
    <w:rsid w:val="00AA761B"/>
    <w:rsid w:val="00AB1849"/>
    <w:rsid w:val="00AB1930"/>
    <w:rsid w:val="00AB2B87"/>
    <w:rsid w:val="00AB3A5D"/>
    <w:rsid w:val="00AC0907"/>
    <w:rsid w:val="00AC1036"/>
    <w:rsid w:val="00AC1D4C"/>
    <w:rsid w:val="00AC286D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1AB9"/>
    <w:rsid w:val="00AE1FA9"/>
    <w:rsid w:val="00AE2057"/>
    <w:rsid w:val="00AE21CA"/>
    <w:rsid w:val="00AE38FB"/>
    <w:rsid w:val="00AE4FFE"/>
    <w:rsid w:val="00AE64E8"/>
    <w:rsid w:val="00AE69D0"/>
    <w:rsid w:val="00AE7E11"/>
    <w:rsid w:val="00AF129E"/>
    <w:rsid w:val="00AF1474"/>
    <w:rsid w:val="00AF1E98"/>
    <w:rsid w:val="00AF2ACC"/>
    <w:rsid w:val="00AF3062"/>
    <w:rsid w:val="00AF3133"/>
    <w:rsid w:val="00AF6388"/>
    <w:rsid w:val="00AF7312"/>
    <w:rsid w:val="00B00D1B"/>
    <w:rsid w:val="00B01092"/>
    <w:rsid w:val="00B01634"/>
    <w:rsid w:val="00B02340"/>
    <w:rsid w:val="00B02466"/>
    <w:rsid w:val="00B03660"/>
    <w:rsid w:val="00B03C5C"/>
    <w:rsid w:val="00B07675"/>
    <w:rsid w:val="00B07E9F"/>
    <w:rsid w:val="00B1174A"/>
    <w:rsid w:val="00B11A49"/>
    <w:rsid w:val="00B13960"/>
    <w:rsid w:val="00B148BA"/>
    <w:rsid w:val="00B15007"/>
    <w:rsid w:val="00B17841"/>
    <w:rsid w:val="00B20482"/>
    <w:rsid w:val="00B222EC"/>
    <w:rsid w:val="00B226F5"/>
    <w:rsid w:val="00B25222"/>
    <w:rsid w:val="00B257B1"/>
    <w:rsid w:val="00B25885"/>
    <w:rsid w:val="00B2654B"/>
    <w:rsid w:val="00B27468"/>
    <w:rsid w:val="00B30838"/>
    <w:rsid w:val="00B320F4"/>
    <w:rsid w:val="00B33839"/>
    <w:rsid w:val="00B35149"/>
    <w:rsid w:val="00B36508"/>
    <w:rsid w:val="00B36BD6"/>
    <w:rsid w:val="00B40A3C"/>
    <w:rsid w:val="00B4161D"/>
    <w:rsid w:val="00B427F4"/>
    <w:rsid w:val="00B429C9"/>
    <w:rsid w:val="00B435A3"/>
    <w:rsid w:val="00B43B23"/>
    <w:rsid w:val="00B4485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50CE"/>
    <w:rsid w:val="00B65A6D"/>
    <w:rsid w:val="00B66624"/>
    <w:rsid w:val="00B66C60"/>
    <w:rsid w:val="00B712DC"/>
    <w:rsid w:val="00B73C78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40FB"/>
    <w:rsid w:val="00BA51C4"/>
    <w:rsid w:val="00BA6A0A"/>
    <w:rsid w:val="00BA6BCD"/>
    <w:rsid w:val="00BA73B9"/>
    <w:rsid w:val="00BB0D7D"/>
    <w:rsid w:val="00BB2264"/>
    <w:rsid w:val="00BB2B33"/>
    <w:rsid w:val="00BB34E4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D7DCD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0309"/>
    <w:rsid w:val="00C01163"/>
    <w:rsid w:val="00C03D7E"/>
    <w:rsid w:val="00C061EE"/>
    <w:rsid w:val="00C066A3"/>
    <w:rsid w:val="00C103F7"/>
    <w:rsid w:val="00C11434"/>
    <w:rsid w:val="00C12432"/>
    <w:rsid w:val="00C129A7"/>
    <w:rsid w:val="00C13CB2"/>
    <w:rsid w:val="00C159AA"/>
    <w:rsid w:val="00C20020"/>
    <w:rsid w:val="00C207DD"/>
    <w:rsid w:val="00C2192E"/>
    <w:rsid w:val="00C25DFF"/>
    <w:rsid w:val="00C2667F"/>
    <w:rsid w:val="00C307EC"/>
    <w:rsid w:val="00C3410F"/>
    <w:rsid w:val="00C3580F"/>
    <w:rsid w:val="00C414B5"/>
    <w:rsid w:val="00C41648"/>
    <w:rsid w:val="00C41DCA"/>
    <w:rsid w:val="00C43F11"/>
    <w:rsid w:val="00C43FCC"/>
    <w:rsid w:val="00C459BE"/>
    <w:rsid w:val="00C47041"/>
    <w:rsid w:val="00C47D59"/>
    <w:rsid w:val="00C52847"/>
    <w:rsid w:val="00C539B1"/>
    <w:rsid w:val="00C56221"/>
    <w:rsid w:val="00C65465"/>
    <w:rsid w:val="00C65F26"/>
    <w:rsid w:val="00C7010C"/>
    <w:rsid w:val="00C73923"/>
    <w:rsid w:val="00C75322"/>
    <w:rsid w:val="00C7652C"/>
    <w:rsid w:val="00C7654F"/>
    <w:rsid w:val="00C76A43"/>
    <w:rsid w:val="00C77B71"/>
    <w:rsid w:val="00C8067C"/>
    <w:rsid w:val="00C808B9"/>
    <w:rsid w:val="00C81337"/>
    <w:rsid w:val="00C83391"/>
    <w:rsid w:val="00C84844"/>
    <w:rsid w:val="00C856FB"/>
    <w:rsid w:val="00C86090"/>
    <w:rsid w:val="00C927D0"/>
    <w:rsid w:val="00C93887"/>
    <w:rsid w:val="00C94C06"/>
    <w:rsid w:val="00C95C44"/>
    <w:rsid w:val="00C9642E"/>
    <w:rsid w:val="00C968A8"/>
    <w:rsid w:val="00C97364"/>
    <w:rsid w:val="00C97CD8"/>
    <w:rsid w:val="00C97EF0"/>
    <w:rsid w:val="00CA1809"/>
    <w:rsid w:val="00CA30D9"/>
    <w:rsid w:val="00CA4FD5"/>
    <w:rsid w:val="00CA627B"/>
    <w:rsid w:val="00CA740F"/>
    <w:rsid w:val="00CA750D"/>
    <w:rsid w:val="00CB0C6B"/>
    <w:rsid w:val="00CB137E"/>
    <w:rsid w:val="00CB210E"/>
    <w:rsid w:val="00CB2A65"/>
    <w:rsid w:val="00CB63A8"/>
    <w:rsid w:val="00CB66FB"/>
    <w:rsid w:val="00CC01E0"/>
    <w:rsid w:val="00CC06A8"/>
    <w:rsid w:val="00CC0DC1"/>
    <w:rsid w:val="00CC195F"/>
    <w:rsid w:val="00CC304F"/>
    <w:rsid w:val="00CC3814"/>
    <w:rsid w:val="00CC3E09"/>
    <w:rsid w:val="00CD082D"/>
    <w:rsid w:val="00CD0A32"/>
    <w:rsid w:val="00CD22EF"/>
    <w:rsid w:val="00CD2881"/>
    <w:rsid w:val="00CD5C9F"/>
    <w:rsid w:val="00CD5E4E"/>
    <w:rsid w:val="00CD7375"/>
    <w:rsid w:val="00CE05CC"/>
    <w:rsid w:val="00CE1008"/>
    <w:rsid w:val="00CE28FB"/>
    <w:rsid w:val="00CE3C49"/>
    <w:rsid w:val="00CE3E66"/>
    <w:rsid w:val="00CE4C17"/>
    <w:rsid w:val="00CE4FD7"/>
    <w:rsid w:val="00CE556F"/>
    <w:rsid w:val="00CE6054"/>
    <w:rsid w:val="00CE6180"/>
    <w:rsid w:val="00CF0478"/>
    <w:rsid w:val="00CF208D"/>
    <w:rsid w:val="00CF2BB0"/>
    <w:rsid w:val="00CF44C3"/>
    <w:rsid w:val="00D004B8"/>
    <w:rsid w:val="00D01342"/>
    <w:rsid w:val="00D074EC"/>
    <w:rsid w:val="00D10F28"/>
    <w:rsid w:val="00D1133C"/>
    <w:rsid w:val="00D1155F"/>
    <w:rsid w:val="00D11EA7"/>
    <w:rsid w:val="00D12929"/>
    <w:rsid w:val="00D12E08"/>
    <w:rsid w:val="00D1468C"/>
    <w:rsid w:val="00D2083B"/>
    <w:rsid w:val="00D21821"/>
    <w:rsid w:val="00D21CB2"/>
    <w:rsid w:val="00D22491"/>
    <w:rsid w:val="00D267ED"/>
    <w:rsid w:val="00D27A31"/>
    <w:rsid w:val="00D27FE8"/>
    <w:rsid w:val="00D306F8"/>
    <w:rsid w:val="00D31785"/>
    <w:rsid w:val="00D32273"/>
    <w:rsid w:val="00D32700"/>
    <w:rsid w:val="00D32D45"/>
    <w:rsid w:val="00D332CD"/>
    <w:rsid w:val="00D33F16"/>
    <w:rsid w:val="00D33F5E"/>
    <w:rsid w:val="00D40392"/>
    <w:rsid w:val="00D425FB"/>
    <w:rsid w:val="00D428E2"/>
    <w:rsid w:val="00D442CE"/>
    <w:rsid w:val="00D445FE"/>
    <w:rsid w:val="00D454D0"/>
    <w:rsid w:val="00D4650A"/>
    <w:rsid w:val="00D46725"/>
    <w:rsid w:val="00D475C1"/>
    <w:rsid w:val="00D500C9"/>
    <w:rsid w:val="00D512A5"/>
    <w:rsid w:val="00D52E1A"/>
    <w:rsid w:val="00D54636"/>
    <w:rsid w:val="00D5655D"/>
    <w:rsid w:val="00D6032F"/>
    <w:rsid w:val="00D624D1"/>
    <w:rsid w:val="00D631E9"/>
    <w:rsid w:val="00D63DA8"/>
    <w:rsid w:val="00D64A4A"/>
    <w:rsid w:val="00D64AD8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85621"/>
    <w:rsid w:val="00D905C0"/>
    <w:rsid w:val="00D9084F"/>
    <w:rsid w:val="00D93A22"/>
    <w:rsid w:val="00D95E3E"/>
    <w:rsid w:val="00D97EFB"/>
    <w:rsid w:val="00DA0A98"/>
    <w:rsid w:val="00DA1849"/>
    <w:rsid w:val="00DA1BA4"/>
    <w:rsid w:val="00DA1C99"/>
    <w:rsid w:val="00DA2FCE"/>
    <w:rsid w:val="00DA3542"/>
    <w:rsid w:val="00DA58DC"/>
    <w:rsid w:val="00DA5BCB"/>
    <w:rsid w:val="00DA61CF"/>
    <w:rsid w:val="00DA6841"/>
    <w:rsid w:val="00DA6F54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CE5"/>
    <w:rsid w:val="00DC3DE5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DEE"/>
    <w:rsid w:val="00E022AF"/>
    <w:rsid w:val="00E031EC"/>
    <w:rsid w:val="00E04502"/>
    <w:rsid w:val="00E04A4D"/>
    <w:rsid w:val="00E05C34"/>
    <w:rsid w:val="00E06519"/>
    <w:rsid w:val="00E140B2"/>
    <w:rsid w:val="00E147C1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268E5"/>
    <w:rsid w:val="00E33CFA"/>
    <w:rsid w:val="00E34ADA"/>
    <w:rsid w:val="00E34D61"/>
    <w:rsid w:val="00E3580E"/>
    <w:rsid w:val="00E36D44"/>
    <w:rsid w:val="00E37ABB"/>
    <w:rsid w:val="00E37EC9"/>
    <w:rsid w:val="00E413B6"/>
    <w:rsid w:val="00E44765"/>
    <w:rsid w:val="00E44AD8"/>
    <w:rsid w:val="00E44BFC"/>
    <w:rsid w:val="00E45D11"/>
    <w:rsid w:val="00E45D25"/>
    <w:rsid w:val="00E50E5A"/>
    <w:rsid w:val="00E5221A"/>
    <w:rsid w:val="00E5381B"/>
    <w:rsid w:val="00E53E0D"/>
    <w:rsid w:val="00E543DA"/>
    <w:rsid w:val="00E544A6"/>
    <w:rsid w:val="00E57033"/>
    <w:rsid w:val="00E57036"/>
    <w:rsid w:val="00E60A10"/>
    <w:rsid w:val="00E61B67"/>
    <w:rsid w:val="00E646D4"/>
    <w:rsid w:val="00E6494A"/>
    <w:rsid w:val="00E65285"/>
    <w:rsid w:val="00E7050D"/>
    <w:rsid w:val="00E70C00"/>
    <w:rsid w:val="00E71BE7"/>
    <w:rsid w:val="00E72A0D"/>
    <w:rsid w:val="00E75446"/>
    <w:rsid w:val="00E81BBA"/>
    <w:rsid w:val="00E8222D"/>
    <w:rsid w:val="00E83460"/>
    <w:rsid w:val="00E83E18"/>
    <w:rsid w:val="00E84205"/>
    <w:rsid w:val="00E8480A"/>
    <w:rsid w:val="00E857C9"/>
    <w:rsid w:val="00E9173C"/>
    <w:rsid w:val="00E9309D"/>
    <w:rsid w:val="00E93C34"/>
    <w:rsid w:val="00E9427B"/>
    <w:rsid w:val="00E9606E"/>
    <w:rsid w:val="00EA2106"/>
    <w:rsid w:val="00EA7073"/>
    <w:rsid w:val="00EB08AE"/>
    <w:rsid w:val="00EB17F4"/>
    <w:rsid w:val="00EB6A22"/>
    <w:rsid w:val="00EB7226"/>
    <w:rsid w:val="00EB72A8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256D"/>
    <w:rsid w:val="00EE28BE"/>
    <w:rsid w:val="00EE2E4B"/>
    <w:rsid w:val="00EE32A1"/>
    <w:rsid w:val="00EE34B7"/>
    <w:rsid w:val="00EE370C"/>
    <w:rsid w:val="00EE3740"/>
    <w:rsid w:val="00EE3858"/>
    <w:rsid w:val="00EE39E5"/>
    <w:rsid w:val="00EE5827"/>
    <w:rsid w:val="00EE729B"/>
    <w:rsid w:val="00EE75B5"/>
    <w:rsid w:val="00EF1FEB"/>
    <w:rsid w:val="00EF3454"/>
    <w:rsid w:val="00EF44FA"/>
    <w:rsid w:val="00EF4715"/>
    <w:rsid w:val="00EF4B05"/>
    <w:rsid w:val="00F011BC"/>
    <w:rsid w:val="00F03900"/>
    <w:rsid w:val="00F04F8C"/>
    <w:rsid w:val="00F06B78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09D"/>
    <w:rsid w:val="00F33565"/>
    <w:rsid w:val="00F340E0"/>
    <w:rsid w:val="00F36C3F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5661E"/>
    <w:rsid w:val="00F602A1"/>
    <w:rsid w:val="00F61B9E"/>
    <w:rsid w:val="00F62E5F"/>
    <w:rsid w:val="00F64BD4"/>
    <w:rsid w:val="00F64EE5"/>
    <w:rsid w:val="00F656AB"/>
    <w:rsid w:val="00F65D6C"/>
    <w:rsid w:val="00F70FA9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50C4"/>
    <w:rsid w:val="00F77545"/>
    <w:rsid w:val="00F8030A"/>
    <w:rsid w:val="00F81C94"/>
    <w:rsid w:val="00F83765"/>
    <w:rsid w:val="00F8504F"/>
    <w:rsid w:val="00F87C11"/>
    <w:rsid w:val="00F9162B"/>
    <w:rsid w:val="00F930E5"/>
    <w:rsid w:val="00F9326F"/>
    <w:rsid w:val="00F95033"/>
    <w:rsid w:val="00FA0B88"/>
    <w:rsid w:val="00FA3E37"/>
    <w:rsid w:val="00FA49B9"/>
    <w:rsid w:val="00FA7E27"/>
    <w:rsid w:val="00FB0CB6"/>
    <w:rsid w:val="00FB1253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1CA2"/>
    <w:rsid w:val="00FD1D29"/>
    <w:rsid w:val="00FD2838"/>
    <w:rsid w:val="00FD2949"/>
    <w:rsid w:val="00FD2C09"/>
    <w:rsid w:val="00FD32AE"/>
    <w:rsid w:val="00FD7978"/>
    <w:rsid w:val="00FE3556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23A7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55AE-A335-4B10-AA1C-C16113E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10871</TotalTime>
  <Pages>98</Pages>
  <Words>24140</Words>
  <Characters>137604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Петрова Татьяна Александровна</cp:lastModifiedBy>
  <cp:revision>1062</cp:revision>
  <cp:lastPrinted>2025-04-16T12:45:00Z</cp:lastPrinted>
  <dcterms:created xsi:type="dcterms:W3CDTF">2015-07-24T10:46:00Z</dcterms:created>
  <dcterms:modified xsi:type="dcterms:W3CDTF">2025-04-24T08:28:00Z</dcterms:modified>
</cp:coreProperties>
</file>