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spacing w:line="264" w:lineRule="auto"/>
        <w:ind/>
        <w:jc w:val="center"/>
        <w:rPr>
          <w:b w:val="1"/>
          <w:spacing w:val="2"/>
          <w:sz w:val="28"/>
        </w:rPr>
      </w:pPr>
      <w:r>
        <w:rPr>
          <w:b w:val="1"/>
          <w:spacing w:val="2"/>
          <w:sz w:val="28"/>
        </w:rPr>
        <w:t xml:space="preserve">ОБОСНОВАНИЕ </w:t>
      </w:r>
    </w:p>
    <w:p w14:paraId="07000000">
      <w:pPr>
        <w:widowControl w:val="1"/>
        <w:spacing w:line="264" w:lineRule="auto"/>
        <w:ind/>
        <w:jc w:val="center"/>
        <w:rPr>
          <w:b w:val="1"/>
          <w:spacing w:val="2"/>
          <w:sz w:val="28"/>
        </w:rPr>
      </w:pPr>
      <w:r>
        <w:rPr>
          <w:b w:val="1"/>
          <w:spacing w:val="2"/>
          <w:sz w:val="28"/>
        </w:rPr>
        <w:t xml:space="preserve">прогнозных характеристик социально-экономического развития </w:t>
      </w:r>
    </w:p>
    <w:p w14:paraId="08000000">
      <w:pPr>
        <w:widowControl w:val="1"/>
        <w:spacing w:line="264" w:lineRule="auto"/>
        <w:ind/>
        <w:jc w:val="center"/>
        <w:rPr>
          <w:b w:val="1"/>
          <w:spacing w:val="2"/>
          <w:sz w:val="28"/>
        </w:rPr>
      </w:pPr>
      <w:r>
        <w:rPr>
          <w:b w:val="1"/>
          <w:spacing w:val="2"/>
          <w:sz w:val="28"/>
        </w:rPr>
        <w:t xml:space="preserve">муниципального образования город Краснодар на 2026 год </w:t>
      </w:r>
    </w:p>
    <w:p w14:paraId="09000000">
      <w:pPr>
        <w:widowControl w:val="1"/>
        <w:spacing w:line="264" w:lineRule="auto"/>
        <w:ind/>
        <w:jc w:val="center"/>
        <w:rPr>
          <w:b w:val="1"/>
          <w:spacing w:val="2"/>
          <w:sz w:val="28"/>
        </w:rPr>
      </w:pPr>
      <w:r>
        <w:rPr>
          <w:b w:val="1"/>
          <w:spacing w:val="2"/>
          <w:sz w:val="28"/>
        </w:rPr>
        <w:t>и на плановый период до 2030 года</w:t>
      </w:r>
    </w:p>
    <w:p w14:paraId="0A000000">
      <w:pPr>
        <w:widowControl w:val="1"/>
        <w:spacing w:line="264" w:lineRule="auto"/>
        <w:ind w:firstLine="709"/>
        <w:jc w:val="both"/>
        <w:rPr>
          <w:spacing w:val="2"/>
          <w:sz w:val="24"/>
        </w:rPr>
      </w:pPr>
    </w:p>
    <w:p w14:paraId="0B000000">
      <w:pPr>
        <w:widowControl w:val="1"/>
        <w:spacing w:line="264" w:lineRule="auto"/>
        <w:ind w:firstLine="709"/>
        <w:jc w:val="both"/>
        <w:rPr>
          <w:spacing w:val="2"/>
          <w:sz w:val="24"/>
        </w:rPr>
      </w:pPr>
    </w:p>
    <w:p w14:paraId="0C000000">
      <w:pPr>
        <w:widowControl w:val="1"/>
        <w:numPr>
          <w:ilvl w:val="0"/>
          <w:numId w:val="1"/>
        </w:numPr>
        <w:tabs>
          <w:tab w:leader="none" w:pos="993" w:val="left"/>
        </w:tabs>
        <w:spacing w:line="264" w:lineRule="auto"/>
        <w:ind w:firstLine="709" w:left="0"/>
        <w:jc w:val="both"/>
      </w:pPr>
      <w:r>
        <w:rPr>
          <w:spacing w:val="2"/>
          <w:sz w:val="28"/>
        </w:rPr>
        <w:t xml:space="preserve">Разработка прогнозных характеристик социально-экономического развития муниципального </w:t>
      </w:r>
      <w:r>
        <w:rPr>
          <w:spacing w:val="2"/>
          <w:sz w:val="28"/>
        </w:rPr>
        <w:t>образования город Краснодар на 2026 год и на плановый период до 2030 года осуществлялась в целях реализации:</w:t>
      </w:r>
    </w:p>
    <w:p w14:paraId="0D000000">
      <w:pPr>
        <w:widowControl w:val="1"/>
        <w:spacing w:line="264" w:lineRule="auto"/>
        <w:ind w:firstLine="709"/>
        <w:jc w:val="both"/>
      </w:pPr>
      <w:r>
        <w:rPr>
          <w:spacing w:val="2"/>
          <w:sz w:val="28"/>
        </w:rPr>
        <w:t>Федерального закона от 28.06.2014 № 172-ФЗ «О стратегическом планировании в Российской Федерации»;</w:t>
      </w:r>
    </w:p>
    <w:p w14:paraId="0E000000">
      <w:pPr>
        <w:widowControl w:val="1"/>
        <w:spacing w:line="264" w:lineRule="auto"/>
        <w:ind w:firstLine="709"/>
        <w:jc w:val="both"/>
      </w:pPr>
      <w:r>
        <w:rPr>
          <w:spacing w:val="2"/>
          <w:sz w:val="28"/>
        </w:rPr>
        <w:t>Закона Краснодарского края от 06.11.2015 № 3267-</w:t>
      </w:r>
      <w:r>
        <w:rPr>
          <w:spacing w:val="2"/>
          <w:sz w:val="28"/>
        </w:rPr>
        <w:t>КЗ «О стратегическом планировании в Краснодарском крае»;</w:t>
      </w:r>
    </w:p>
    <w:p w14:paraId="0F000000">
      <w:pPr>
        <w:widowControl w:val="1"/>
        <w:spacing w:line="264" w:lineRule="auto"/>
        <w:ind w:firstLine="709"/>
        <w:jc w:val="both"/>
      </w:pPr>
      <w:r>
        <w:rPr>
          <w:spacing w:val="2"/>
          <w:sz w:val="28"/>
        </w:rPr>
        <w:t>постановления главы администрации (губернатора) Краснодарского края от 23.07.2015 № 699 «О порядке разработки и корректировки, осуществления мониторинга и контроля реализации прогнозов социально-экон</w:t>
      </w:r>
      <w:r>
        <w:rPr>
          <w:spacing w:val="2"/>
          <w:sz w:val="28"/>
        </w:rPr>
        <w:t>омического развития Краснодарского края на долгосрочный и среднесрочный периоды»;</w:t>
      </w:r>
    </w:p>
    <w:p w14:paraId="10000000">
      <w:pPr>
        <w:widowControl w:val="1"/>
        <w:spacing w:line="264" w:lineRule="auto"/>
        <w:ind w:firstLine="709"/>
        <w:jc w:val="both"/>
      </w:pPr>
      <w:r>
        <w:rPr>
          <w:spacing w:val="2"/>
          <w:sz w:val="28"/>
        </w:rPr>
        <w:t>постановления администрации муниципального образования город Краснодар от 22.09.2022 № 4444 «О разработке, утверждении (одобрении), корректировке, осуществлении мониторинга и</w:t>
      </w:r>
      <w:r>
        <w:rPr>
          <w:spacing w:val="2"/>
          <w:sz w:val="28"/>
        </w:rPr>
        <w:t xml:space="preserve"> контроля документов стратегического планирования муниципального образования город Краснодар, предусмотренных пунктами 1–3 части 5 статьи 11 Федерального закона                   от 28.06.2014 № 172-ФЗ «О стратегическом планировании в Российской Федерации»</w:t>
      </w:r>
      <w:r>
        <w:rPr>
          <w:spacing w:val="2"/>
          <w:sz w:val="28"/>
        </w:rPr>
        <w:t>.</w:t>
      </w:r>
    </w:p>
    <w:p w14:paraId="11000000">
      <w:pPr>
        <w:widowControl w:val="1"/>
        <w:spacing w:line="264" w:lineRule="auto"/>
        <w:ind w:firstLine="709"/>
        <w:jc w:val="both"/>
      </w:pPr>
      <w:r>
        <w:rPr>
          <w:spacing w:val="2"/>
          <w:sz w:val="28"/>
        </w:rPr>
        <w:t xml:space="preserve">2. В основу Прогноза положены итоги развития экономики муниципального образования город Краснодар в предшествующие годы и оценка результатов работы в 2025 году, основанная на аналитической обработке статистической информации за первое полугодие, а также </w:t>
      </w:r>
      <w:r>
        <w:rPr>
          <w:spacing w:val="2"/>
          <w:sz w:val="28"/>
        </w:rPr>
        <w:t xml:space="preserve">на предварительных данных, полученных от предприятий и организаций, осуществляющих хозяйственную деятельность на территории муниципального образования город Краснодар: планов предприятий и организаций города на 2025–2030 годы. </w:t>
      </w:r>
    </w:p>
    <w:p w14:paraId="12000000">
      <w:pPr>
        <w:widowControl w:val="1"/>
        <w:spacing w:line="264" w:lineRule="auto"/>
        <w:ind w:firstLine="709"/>
        <w:jc w:val="both"/>
      </w:pPr>
      <w:r>
        <w:rPr>
          <w:spacing w:val="2"/>
          <w:sz w:val="28"/>
        </w:rPr>
        <w:t>3. При расчёте прогнозных по</w:t>
      </w:r>
      <w:r>
        <w:rPr>
          <w:spacing w:val="2"/>
          <w:sz w:val="28"/>
        </w:rPr>
        <w:t>казателей использовались рекомендованные Министерством экономического развития Российской Федерации индексы цен, дифференцированные с учётом развития инфляционных процессов в Краснодарском крае и особенностей функционирования отдельных отраслей хозяйственн</w:t>
      </w:r>
      <w:r>
        <w:rPr>
          <w:spacing w:val="2"/>
          <w:sz w:val="28"/>
        </w:rPr>
        <w:t>ого комплекса муниципального образования город Краснодар.</w:t>
      </w:r>
    </w:p>
    <w:p w14:paraId="13000000">
      <w:pPr>
        <w:widowControl w:val="1"/>
        <w:spacing w:line="264" w:lineRule="auto"/>
        <w:ind w:firstLine="709"/>
        <w:jc w:val="both"/>
      </w:pPr>
      <w:r>
        <w:rPr>
          <w:spacing w:val="2"/>
          <w:sz w:val="28"/>
        </w:rPr>
        <w:t>4. В 2024 году в целом экономика муниципального образования город Краснодар показала устойчивость, в том числе благодаря реализации плана первоочередных мер по поддержке экономики и своей многоуклад</w:t>
      </w:r>
      <w:r>
        <w:rPr>
          <w:spacing w:val="2"/>
          <w:sz w:val="28"/>
        </w:rPr>
        <w:t xml:space="preserve">ности. </w:t>
      </w:r>
    </w:p>
    <w:p w14:paraId="14000000">
      <w:pPr>
        <w:widowControl w:val="1"/>
        <w:spacing w:line="264" w:lineRule="auto"/>
        <w:ind w:firstLine="709"/>
        <w:jc w:val="both"/>
      </w:pPr>
      <w:r>
        <w:rPr>
          <w:sz w:val="28"/>
        </w:rPr>
        <w:t>5. К главным рискам в прогнозируемом периоде следует отнести:</w:t>
      </w:r>
    </w:p>
    <w:p w14:paraId="15000000">
      <w:pPr>
        <w:widowControl w:val="1"/>
        <w:spacing w:line="264" w:lineRule="auto"/>
        <w:ind w:firstLine="709"/>
        <w:jc w:val="both"/>
      </w:pPr>
      <w:r>
        <w:rPr>
          <w:sz w:val="28"/>
        </w:rPr>
        <w:t>1) возможное усиление геополитического давления (ужесточение санкций, ограничений на торговлю и инвестиции);</w:t>
      </w:r>
    </w:p>
    <w:p w14:paraId="16000000">
      <w:pPr>
        <w:widowControl w:val="1"/>
        <w:tabs>
          <w:tab w:leader="none" w:pos="993" w:val="left"/>
        </w:tabs>
        <w:spacing w:line="264" w:lineRule="auto"/>
        <w:ind w:firstLine="709"/>
        <w:jc w:val="both"/>
      </w:pPr>
      <w:r>
        <w:rPr>
          <w:sz w:val="28"/>
        </w:rPr>
        <w:t>2) сохраняющиеся риски со стороны инфляционных ожиданий, которые могут надолг</w:t>
      </w:r>
      <w:r>
        <w:rPr>
          <w:sz w:val="28"/>
        </w:rPr>
        <w:t>о закрепиться на высоком уровне;</w:t>
      </w:r>
    </w:p>
    <w:p w14:paraId="17000000">
      <w:pPr>
        <w:widowControl w:val="1"/>
        <w:tabs>
          <w:tab w:leader="none" w:pos="993" w:val="left"/>
        </w:tabs>
        <w:spacing w:line="264" w:lineRule="auto"/>
        <w:ind w:firstLine="709"/>
        <w:jc w:val="both"/>
      </w:pPr>
      <w:r>
        <w:rPr>
          <w:sz w:val="28"/>
        </w:rPr>
        <w:t>3) исчерпание доступных производственных мощностей и рабочей силы;</w:t>
      </w:r>
    </w:p>
    <w:p w14:paraId="18000000">
      <w:pPr>
        <w:widowControl w:val="1"/>
        <w:tabs>
          <w:tab w:leader="none" w:pos="993" w:val="left"/>
        </w:tabs>
        <w:spacing w:line="264" w:lineRule="auto"/>
        <w:ind w:firstLine="709"/>
        <w:jc w:val="both"/>
      </w:pPr>
      <w:r>
        <w:rPr>
          <w:sz w:val="28"/>
        </w:rPr>
        <w:t>4) дефицит кадров.</w:t>
      </w:r>
    </w:p>
    <w:p w14:paraId="19000000">
      <w:pPr>
        <w:widowControl w:val="1"/>
        <w:spacing w:line="264" w:lineRule="auto"/>
        <w:ind w:firstLine="709"/>
      </w:pPr>
      <w:r>
        <w:rPr>
          <w:sz w:val="28"/>
        </w:rPr>
        <w:t xml:space="preserve">6. Разрешению указанных проблем будут способствовать: </w:t>
      </w:r>
    </w:p>
    <w:p w14:paraId="1A000000">
      <w:pPr>
        <w:widowControl w:val="1"/>
        <w:tabs>
          <w:tab w:leader="none" w:pos="993" w:val="left"/>
        </w:tabs>
        <w:spacing w:line="264" w:lineRule="auto"/>
        <w:ind w:firstLine="141" w:left="568"/>
        <w:jc w:val="both"/>
      </w:pPr>
      <w:r>
        <w:rPr>
          <w:sz w:val="28"/>
        </w:rPr>
        <w:t>1) активные меры поддержки и реализация антикризисных программ;</w:t>
      </w:r>
    </w:p>
    <w:p w14:paraId="1B000000">
      <w:pPr>
        <w:widowControl w:val="1"/>
        <w:tabs>
          <w:tab w:leader="none" w:pos="1134" w:val="left"/>
        </w:tabs>
        <w:spacing w:line="264" w:lineRule="auto"/>
        <w:ind w:firstLine="709"/>
        <w:jc w:val="both"/>
      </w:pPr>
      <w:r>
        <w:rPr>
          <w:sz w:val="28"/>
        </w:rPr>
        <w:t xml:space="preserve">2) продолжение </w:t>
      </w:r>
      <w:r>
        <w:rPr>
          <w:sz w:val="28"/>
        </w:rPr>
        <w:t>структурной трансформации, создание и развитие новые производств товаров и услуг, в том числе импортозамещающих;</w:t>
      </w:r>
    </w:p>
    <w:p w14:paraId="1C000000">
      <w:pPr>
        <w:widowControl w:val="1"/>
        <w:tabs>
          <w:tab w:leader="none" w:pos="1134" w:val="left"/>
        </w:tabs>
        <w:spacing w:line="264" w:lineRule="auto"/>
        <w:ind w:firstLine="709"/>
        <w:jc w:val="both"/>
      </w:pPr>
      <w:r>
        <w:rPr>
          <w:sz w:val="28"/>
        </w:rPr>
        <w:t>3) развитие инновационного потенциала;</w:t>
      </w:r>
    </w:p>
    <w:p w14:paraId="1D000000">
      <w:pPr>
        <w:widowControl w:val="1"/>
        <w:tabs>
          <w:tab w:leader="none" w:pos="709" w:val="left"/>
        </w:tabs>
        <w:spacing w:line="264" w:lineRule="auto"/>
        <w:ind w:firstLine="709"/>
        <w:jc w:val="both"/>
      </w:pPr>
      <w:r>
        <w:rPr>
          <w:sz w:val="28"/>
        </w:rPr>
        <w:t>4) меры по повышению инвестиционной привлекательности и созданию благоприятных условий для развития биз</w:t>
      </w:r>
      <w:r>
        <w:rPr>
          <w:sz w:val="28"/>
        </w:rPr>
        <w:t>неса;</w:t>
      </w:r>
    </w:p>
    <w:p w14:paraId="1E000000">
      <w:pPr>
        <w:widowControl w:val="1"/>
        <w:tabs>
          <w:tab w:leader="none" w:pos="709" w:val="left"/>
        </w:tabs>
        <w:spacing w:line="264" w:lineRule="auto"/>
        <w:ind w:firstLine="709"/>
        <w:jc w:val="both"/>
      </w:pPr>
      <w:r>
        <w:rPr>
          <w:sz w:val="28"/>
        </w:rPr>
        <w:t>5) повышение уровня квалификации работающих, создание условий для привлечения высококвалифицированных специалистов;</w:t>
      </w:r>
    </w:p>
    <w:p w14:paraId="1F000000">
      <w:pPr>
        <w:widowControl w:val="1"/>
        <w:tabs>
          <w:tab w:leader="none" w:pos="709" w:val="left"/>
        </w:tabs>
        <w:spacing w:line="264" w:lineRule="auto"/>
        <w:ind w:firstLine="709"/>
        <w:jc w:val="both"/>
      </w:pPr>
      <w:r>
        <w:rPr>
          <w:sz w:val="28"/>
        </w:rPr>
        <w:t>6) повышение производительности труда.</w:t>
      </w:r>
    </w:p>
    <w:p w14:paraId="20000000">
      <w:pPr>
        <w:widowControl w:val="1"/>
        <w:spacing w:line="264" w:lineRule="auto"/>
        <w:ind w:firstLine="709"/>
        <w:jc w:val="both"/>
      </w:pPr>
      <w:r>
        <w:rPr>
          <w:sz w:val="28"/>
        </w:rPr>
        <w:t>7. Прогноз социально-экономического развития муниципального образования город Красн</w:t>
      </w:r>
      <w:r>
        <w:rPr>
          <w:sz w:val="28"/>
        </w:rPr>
        <w:t xml:space="preserve">одар на 2026 год и на плановый период до 2030 года разработан в двух вариантах: 1 вариант – консервативный, 2 вариант – базовый (основной).  </w:t>
      </w:r>
    </w:p>
    <w:p w14:paraId="21000000">
      <w:pPr>
        <w:widowControl w:val="1"/>
        <w:spacing w:line="264" w:lineRule="auto"/>
        <w:ind w:firstLine="709"/>
        <w:jc w:val="both"/>
      </w:pPr>
      <w:r>
        <w:rPr>
          <w:sz w:val="28"/>
        </w:rPr>
        <w:t xml:space="preserve">7.1. Базовый вариант описывает наиболее вероятный сценарий развития экономики с учётом относительно оптимистичных </w:t>
      </w:r>
      <w:r>
        <w:rPr>
          <w:sz w:val="28"/>
        </w:rPr>
        <w:t>изменений внешних условий.</w:t>
      </w:r>
    </w:p>
    <w:p w14:paraId="22000000">
      <w:pPr>
        <w:widowControl w:val="1"/>
        <w:spacing w:line="264" w:lineRule="auto"/>
        <w:ind w:firstLine="709"/>
        <w:jc w:val="both"/>
      </w:pPr>
      <w:r>
        <w:rPr>
          <w:sz w:val="28"/>
        </w:rPr>
        <w:t>7.2. Консервативный вариант основан на предпосылках об ухудшении внешнеэкономических условий и более сдержанном восстановлении внутреннего спроса.</w:t>
      </w:r>
    </w:p>
    <w:p w14:paraId="23000000">
      <w:pPr>
        <w:widowControl w:val="1"/>
        <w:spacing w:line="264" w:lineRule="auto"/>
        <w:ind w:firstLine="709"/>
        <w:jc w:val="both"/>
      </w:pPr>
      <w:r>
        <w:rPr>
          <w:spacing w:val="2"/>
          <w:sz w:val="28"/>
        </w:rPr>
        <w:t>8. Обзор основных разделов прогноза социально-экономического развития муниципально</w:t>
      </w:r>
      <w:r>
        <w:rPr>
          <w:spacing w:val="2"/>
          <w:sz w:val="28"/>
        </w:rPr>
        <w:t>го образования город Краснодар на 2026 год и на плановый период до 2030 года.</w:t>
      </w:r>
    </w:p>
    <w:p w14:paraId="24000000">
      <w:pPr>
        <w:widowControl w:val="1"/>
        <w:spacing w:line="264" w:lineRule="auto"/>
        <w:ind w:firstLine="1" w:left="708"/>
        <w:rPr>
          <w:spacing w:val="2"/>
          <w:sz w:val="28"/>
        </w:rPr>
      </w:pPr>
      <w:r>
        <w:rPr>
          <w:spacing w:val="2"/>
          <w:sz w:val="28"/>
        </w:rPr>
        <w:t>8.1. Промышленная деятельность</w:t>
      </w:r>
    </w:p>
    <w:p w14:paraId="25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Промышленная деятельность представлена четырьмя укрупнёнными разделами: В – «Добыча полезных ископаемых», С – «Обрабатывающие производства», D – «О</w:t>
      </w:r>
      <w:r>
        <w:rPr>
          <w:sz w:val="28"/>
        </w:rPr>
        <w:t>беспечение электрической энергией, газом и паром; кондиционирование воздуха» и Е – «Водоснабжение; водоотведение, организация сбора и утилизация отходов, деятельность по ликвидации загрязнений». Основным объёмным показателем деятельности предприятий промыш</w:t>
      </w:r>
      <w:r>
        <w:rPr>
          <w:sz w:val="28"/>
        </w:rPr>
        <w:t xml:space="preserve">ленности является «объём отгруженных товаров собственного производства, выполненных работ и услуг собственными силами». </w:t>
      </w:r>
    </w:p>
    <w:p w14:paraId="26000000">
      <w:pPr>
        <w:widowControl w:val="1"/>
        <w:spacing w:line="264" w:lineRule="auto"/>
        <w:ind w:firstLine="709"/>
        <w:jc w:val="both"/>
      </w:pPr>
      <w:r>
        <w:rPr>
          <w:spacing w:val="2"/>
          <w:sz w:val="28"/>
        </w:rPr>
        <w:t xml:space="preserve">По итогам 2024 года </w:t>
      </w:r>
      <w:r>
        <w:rPr>
          <w:sz w:val="28"/>
        </w:rPr>
        <w:t xml:space="preserve">объём отгруженных товаров собственного производства, выполненных работ и услуг по полному кругу предприятий </w:t>
      </w:r>
      <w:r>
        <w:rPr>
          <w:sz w:val="28"/>
        </w:rPr>
        <w:t xml:space="preserve">составил 396,0 </w:t>
      </w:r>
      <w:r>
        <w:rPr>
          <w:spacing w:val="2"/>
          <w:sz w:val="28"/>
        </w:rPr>
        <w:t xml:space="preserve">млрд рублей, или 119,7% к 2023 году и 111,9% к ранее планируемому значению. </w:t>
      </w:r>
    </w:p>
    <w:p w14:paraId="27000000">
      <w:pPr>
        <w:widowControl w:val="1"/>
        <w:spacing w:line="264" w:lineRule="auto"/>
        <w:ind w:firstLine="709"/>
        <w:jc w:val="both"/>
        <w:rPr>
          <w:b w:val="1"/>
        </w:rPr>
      </w:pPr>
      <w:r>
        <w:rPr>
          <w:spacing w:val="2"/>
          <w:sz w:val="28"/>
        </w:rPr>
        <w:t>Основные причины:</w:t>
      </w:r>
      <w:r>
        <w:rPr>
          <w:spacing w:val="2"/>
          <w:sz w:val="28"/>
        </w:rPr>
        <w:t xml:space="preserve"> </w:t>
      </w:r>
      <w:r>
        <w:rPr>
          <w:spacing w:val="2"/>
          <w:sz w:val="28"/>
        </w:rPr>
        <w:t>досчёт</w:t>
      </w:r>
      <w:r>
        <w:rPr>
          <w:spacing w:val="2"/>
          <w:sz w:val="28"/>
        </w:rPr>
        <w:t xml:space="preserve"> по малым предприятиям, занимающимся промышленным производством,</w:t>
      </w:r>
      <w:r>
        <w:rPr>
          <w:spacing w:val="2"/>
          <w:sz w:val="28"/>
        </w:rPr>
        <w:t xml:space="preserve"> произведенный органами статистики Краснодарского края</w:t>
      </w:r>
      <w:r>
        <w:rPr>
          <w:spacing w:val="2"/>
          <w:sz w:val="28"/>
        </w:rPr>
        <w:t xml:space="preserve"> </w:t>
      </w:r>
      <w:r>
        <w:rPr>
          <w:spacing w:val="2"/>
          <w:sz w:val="28"/>
        </w:rPr>
        <w:t xml:space="preserve"> по итогам 2024 года</w:t>
      </w:r>
      <w:r>
        <w:rPr>
          <w:spacing w:val="2"/>
          <w:sz w:val="28"/>
        </w:rPr>
        <w:t>; уточнение объёма производства по сравнению с ранее планируемым предприятием, занятым обеспечением электрической энергией, газом и паром</w:t>
      </w:r>
      <w:r>
        <w:rPr>
          <w:spacing w:val="2"/>
          <w:sz w:val="28"/>
        </w:rPr>
        <w:t xml:space="preserve">, в связи с перераспределением объёмов между территориальными подразделениями; </w:t>
      </w:r>
      <w:r>
        <w:rPr>
          <w:spacing w:val="2"/>
          <w:sz w:val="28"/>
        </w:rPr>
        <w:t>появление новых предприятий в пе</w:t>
      </w:r>
      <w:r>
        <w:rPr>
          <w:sz w:val="28"/>
        </w:rPr>
        <w:t xml:space="preserve">реработке и консервировании фруктов и овощей и в </w:t>
      </w:r>
      <w:r>
        <w:rPr>
          <w:spacing w:val="2"/>
          <w:sz w:val="28"/>
        </w:rPr>
        <w:t>производств</w:t>
      </w:r>
      <w:r>
        <w:rPr>
          <w:spacing w:val="2"/>
          <w:sz w:val="28"/>
        </w:rPr>
        <w:t>е химических веществ и химических продуктов;</w:t>
      </w:r>
      <w:r>
        <w:rPr>
          <w:spacing w:val="2"/>
          <w:sz w:val="28"/>
        </w:rPr>
        <w:t xml:space="preserve"> переход в груп</w:t>
      </w:r>
      <w:r>
        <w:rPr>
          <w:spacing w:val="2"/>
          <w:sz w:val="28"/>
        </w:rPr>
        <w:t>пу «крупные и сре</w:t>
      </w:r>
      <w:r>
        <w:rPr>
          <w:spacing w:val="2"/>
          <w:sz w:val="28"/>
        </w:rPr>
        <w:t xml:space="preserve">дние» и </w:t>
      </w:r>
      <w:r>
        <w:rPr>
          <w:spacing w:val="2"/>
          <w:sz w:val="28"/>
        </w:rPr>
        <w:t>наращив</w:t>
      </w:r>
      <w:r>
        <w:rPr>
          <w:spacing w:val="2"/>
          <w:sz w:val="28"/>
        </w:rPr>
        <w:t>ание объёмов производства предприятием, занятым производством</w:t>
      </w:r>
      <w:r>
        <w:rPr>
          <w:b w:val="1"/>
        </w:rPr>
        <w:t xml:space="preserve"> </w:t>
      </w:r>
      <w:r>
        <w:rPr>
          <w:sz w:val="28"/>
        </w:rPr>
        <w:t>прочей неметаллической минеральной продукции</w:t>
      </w:r>
      <w:r>
        <w:rPr>
          <w:spacing w:val="2"/>
          <w:sz w:val="28"/>
        </w:rPr>
        <w:t xml:space="preserve">; </w:t>
      </w:r>
      <w:r>
        <w:rPr>
          <w:spacing w:val="2"/>
          <w:sz w:val="28"/>
        </w:rPr>
        <w:t>уточнение объёмов производства предприятий,</w:t>
      </w:r>
      <w:r>
        <w:rPr>
          <w:spacing w:val="2"/>
          <w:sz w:val="28"/>
        </w:rPr>
        <w:t xml:space="preserve"> занятых</w:t>
      </w:r>
      <w:r>
        <w:rPr>
          <w:spacing w:val="2"/>
          <w:sz w:val="28"/>
        </w:rPr>
        <w:t xml:space="preserve"> </w:t>
      </w:r>
      <w:r>
        <w:rPr>
          <w:sz w:val="28"/>
        </w:rPr>
        <w:t>производством готовых металлических изделий, кроме м</w:t>
      </w:r>
      <w:r>
        <w:rPr>
          <w:sz w:val="28"/>
        </w:rPr>
        <w:t>ашин и оборудования</w:t>
      </w:r>
      <w:r>
        <w:rPr>
          <w:spacing w:val="2"/>
          <w:sz w:val="28"/>
        </w:rPr>
        <w:t xml:space="preserve">, </w:t>
      </w:r>
      <w:r>
        <w:rPr>
          <w:spacing w:val="2"/>
          <w:sz w:val="28"/>
        </w:rPr>
        <w:t xml:space="preserve"> производством резиновых и пластмассовых изделий, </w:t>
      </w:r>
      <w:r>
        <w:rPr>
          <w:sz w:val="28"/>
        </w:rPr>
        <w:t>ремонтом и монтажом машин и оборудования</w:t>
      </w:r>
      <w:r>
        <w:rPr>
          <w:b w:val="1"/>
        </w:rPr>
        <w:t>.</w:t>
      </w:r>
    </w:p>
    <w:p w14:paraId="28000000">
      <w:pPr>
        <w:widowControl w:val="1"/>
        <w:spacing w:line="264" w:lineRule="auto"/>
        <w:ind w:firstLine="709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В 2025 году объём </w:t>
      </w:r>
      <w:r>
        <w:rPr>
          <w:sz w:val="28"/>
        </w:rPr>
        <w:t xml:space="preserve">отгруженных товаров собственного производства, выполненных работ и услуг по полному кругу предприятий города </w:t>
      </w:r>
      <w:r>
        <w:rPr>
          <w:spacing w:val="2"/>
          <w:sz w:val="28"/>
        </w:rPr>
        <w:t>в действующих ценах, согласно оценке, составит</w:t>
      </w:r>
      <w:r>
        <w:rPr>
          <w:spacing w:val="2"/>
          <w:sz w:val="28"/>
        </w:rPr>
        <w:t xml:space="preserve"> 428,5 млрд рублей, что выше ранее прогнозируемого значения на 56,1 млрд рублей.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Значения </w:t>
      </w:r>
      <w:r>
        <w:rPr>
          <w:spacing w:val="2"/>
          <w:sz w:val="28"/>
        </w:rPr>
        <w:t>показателей на прогнозируемый период (2026</w:t>
      </w:r>
      <w:r>
        <w:rPr>
          <w:sz w:val="28"/>
        </w:rPr>
        <w:t>–</w:t>
      </w:r>
      <w:r>
        <w:rPr>
          <w:spacing w:val="2"/>
          <w:sz w:val="28"/>
        </w:rPr>
        <w:t xml:space="preserve">2027 годы) также скорректированы в сторону роста на 69,5 и 79,0 млрд рублей соответственно. </w:t>
      </w:r>
    </w:p>
    <w:p w14:paraId="29000000">
      <w:pPr>
        <w:widowControl w:val="1"/>
        <w:spacing w:line="264" w:lineRule="auto"/>
        <w:ind w:firstLine="709"/>
        <w:jc w:val="both"/>
        <w:rPr>
          <w:spacing w:val="2"/>
          <w:sz w:val="28"/>
        </w:rPr>
      </w:pPr>
      <w:r>
        <w:rPr>
          <w:spacing w:val="2"/>
          <w:sz w:val="28"/>
        </w:rPr>
        <w:t>К концу прогнозируемого период</w:t>
      </w:r>
      <w:r>
        <w:rPr>
          <w:spacing w:val="2"/>
          <w:sz w:val="28"/>
        </w:rPr>
        <w:t xml:space="preserve">а (2030 год) </w:t>
      </w:r>
      <w:r>
        <w:rPr>
          <w:sz w:val="28"/>
        </w:rPr>
        <w:t>объём отгруженных товаров собственного производства, выполненных работ и услуг</w:t>
      </w:r>
      <w:r>
        <w:rPr>
          <w:spacing w:val="2"/>
          <w:sz w:val="28"/>
        </w:rPr>
        <w:t xml:space="preserve"> достигнет практически 611,6 млрд рублей и </w:t>
      </w:r>
      <w:r>
        <w:rPr>
          <w:sz w:val="28"/>
        </w:rPr>
        <w:t>вырастет более чем в 1,5 раза по отношению к базовому 2024 году.</w:t>
      </w:r>
    </w:p>
    <w:p w14:paraId="2A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К главным сдерживающим факторам развития промышленного ко</w:t>
      </w:r>
      <w:r>
        <w:rPr>
          <w:sz w:val="28"/>
        </w:rPr>
        <w:t>мплекса в прогнозируемом периоде можно отнести:</w:t>
      </w:r>
    </w:p>
    <w:p w14:paraId="2B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введение санкций, ограничивающих как импорт, так и экспорт продукции;</w:t>
      </w:r>
    </w:p>
    <w:p w14:paraId="2C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уход с российского рынка иностранных компаний-производителей;</w:t>
      </w:r>
    </w:p>
    <w:p w14:paraId="2D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сложности с поставками материалов и комплектующих;</w:t>
      </w:r>
    </w:p>
    <w:p w14:paraId="2E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разрыв отлаженных </w:t>
      </w:r>
      <w:r>
        <w:rPr>
          <w:sz w:val="28"/>
        </w:rPr>
        <w:t>логистических цепочек и нарушение технологических процессов под влиянием санкций;</w:t>
      </w:r>
    </w:p>
    <w:p w14:paraId="2F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«крайне высокая» неопределённость развития, отсутствие чётких инфляционных ожиданий.</w:t>
      </w:r>
    </w:p>
    <w:p w14:paraId="30000000">
      <w:pPr>
        <w:widowControl w:val="1"/>
        <w:spacing w:line="264" w:lineRule="auto"/>
        <w:ind w:firstLine="709"/>
        <w:rPr>
          <w:sz w:val="28"/>
        </w:rPr>
      </w:pPr>
      <w:r>
        <w:rPr>
          <w:sz w:val="28"/>
        </w:rPr>
        <w:t>Решению существующих проблем будут способствовать:</w:t>
      </w:r>
    </w:p>
    <w:p w14:paraId="31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организация производства изделий, заме</w:t>
      </w:r>
      <w:r>
        <w:rPr>
          <w:sz w:val="28"/>
        </w:rPr>
        <w:t>щающих импортные;</w:t>
      </w:r>
    </w:p>
    <w:p w14:paraId="32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повышение конкурентоспособности продукции;</w:t>
      </w:r>
    </w:p>
    <w:p w14:paraId="33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внедрение нового высокопроизводительного оборудования и современных технологий;</w:t>
      </w:r>
    </w:p>
    <w:p w14:paraId="34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создание новых наукоёмких производств с использованием инновационных разработок;</w:t>
      </w:r>
    </w:p>
    <w:p w14:paraId="35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поиск новых рынков сбыта;</w:t>
      </w:r>
    </w:p>
    <w:p w14:paraId="36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поиск по</w:t>
      </w:r>
      <w:r>
        <w:rPr>
          <w:sz w:val="28"/>
        </w:rPr>
        <w:t>ставщиков материалов и комплектующих внутри страны и в дружественных странах;</w:t>
      </w:r>
    </w:p>
    <w:p w14:paraId="37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повышение производительности труда; </w:t>
      </w:r>
    </w:p>
    <w:p w14:paraId="38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color w:val="020C22"/>
          <w:sz w:val="28"/>
        </w:rPr>
        <w:t xml:space="preserve">повышение доступности финансовых ресурсов для предприятий промышленного комплекса. </w:t>
      </w:r>
    </w:p>
    <w:p w14:paraId="39000000">
      <w:pPr>
        <w:widowControl w:val="1"/>
        <w:tabs>
          <w:tab w:leader="none" w:pos="993" w:val="center"/>
          <w:tab w:leader="none" w:pos="8205" w:val="left"/>
        </w:tabs>
        <w:spacing w:line="264" w:lineRule="auto"/>
        <w:ind w:firstLine="1" w:left="708"/>
        <w:rPr>
          <w:spacing w:val="2"/>
          <w:sz w:val="28"/>
        </w:rPr>
      </w:pPr>
      <w:r>
        <w:rPr>
          <w:spacing w:val="2"/>
          <w:sz w:val="28"/>
        </w:rPr>
        <w:t>8.2. Агропромышленный комплекс</w:t>
      </w:r>
    </w:p>
    <w:p w14:paraId="3A000000">
      <w:pPr>
        <w:widowControl w:val="1"/>
        <w:spacing w:line="264" w:lineRule="auto"/>
        <w:ind w:firstLine="709"/>
        <w:jc w:val="both"/>
      </w:pPr>
      <w:r>
        <w:rPr>
          <w:sz w:val="28"/>
        </w:rPr>
        <w:t>В 2024 году сто</w:t>
      </w:r>
      <w:r>
        <w:rPr>
          <w:sz w:val="28"/>
        </w:rPr>
        <w:t xml:space="preserve">имость валовой продукции сельского хозяйства составила 9,3 млрд рублей, что ниже ранее прогнозируемого значения на 1,2 млрд рублей. Скорректированы в сторону уменьшения и прогнозные значения на 2025–        2027 годы. </w:t>
      </w:r>
    </w:p>
    <w:p w14:paraId="3B000000">
      <w:pPr>
        <w:widowControl w:val="1"/>
        <w:spacing w:line="264" w:lineRule="auto"/>
        <w:ind w:firstLine="709"/>
        <w:jc w:val="both"/>
      </w:pPr>
      <w:r>
        <w:rPr>
          <w:sz w:val="28"/>
        </w:rPr>
        <w:t xml:space="preserve">Основная причина – снижение объёма производства </w:t>
      </w:r>
      <w:r>
        <w:rPr>
          <w:sz w:val="28"/>
        </w:rPr>
        <w:t>продукции растениеводства по причине неблагоприятных погодных условий в 2024</w:t>
      </w:r>
      <w:r>
        <w:rPr>
          <w:sz w:val="28"/>
        </w:rPr>
        <w:t>–</w:t>
      </w:r>
      <w:r>
        <w:rPr>
          <w:sz w:val="28"/>
        </w:rPr>
        <w:t xml:space="preserve">     2025 годах (длительное отсутствие осадков и высокие температуры). </w:t>
      </w:r>
    </w:p>
    <w:p w14:paraId="3C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8.3. Транспортировка и хранение</w:t>
      </w:r>
    </w:p>
    <w:p w14:paraId="3D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Транспортная отрасль города Краснодара представлена 79 крупными и средними предп</w:t>
      </w:r>
      <w:r>
        <w:rPr>
          <w:sz w:val="28"/>
        </w:rPr>
        <w:t>риятиями всех видов транспорта, а также малыми автомобильными предприятиями и частными предпринимателями.</w:t>
      </w:r>
    </w:p>
    <w:p w14:paraId="3E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Транспортная инфраструктура имеет тесные взаимосвязи со всеми элементами экономики и социальной сферы города. </w:t>
      </w:r>
    </w:p>
    <w:p w14:paraId="3F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2024 году объём выполненных услуг по </w:t>
      </w:r>
      <w:r>
        <w:rPr>
          <w:sz w:val="28"/>
        </w:rPr>
        <w:t>полному кругу предприятий отрасли в действующих ценах составил 83,3 млрд рублей, или 99,3% к уровню 2023 года, и 91,2% к ранее планируемому значению.</w:t>
      </w:r>
    </w:p>
    <w:p w14:paraId="40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 2025 году ожидаемый объём выполненных услуг по полному кругу предприятий отрасли в действующих ценах сос</w:t>
      </w:r>
      <w:r>
        <w:rPr>
          <w:sz w:val="28"/>
        </w:rPr>
        <w:t xml:space="preserve">тавит 87,3 млрд рублей, или 104,8% к уровню 2024 года, и 90,4% к ранее прогнозируемому значению. </w:t>
      </w:r>
    </w:p>
    <w:p w14:paraId="41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Причиной корректировки ранее прогнозируемых показателей в сторону уменьшения является уточнение объёмов транспортирования газа по сравнению с ранее планируемы</w:t>
      </w:r>
      <w:r>
        <w:rPr>
          <w:sz w:val="28"/>
        </w:rPr>
        <w:t>ми предприятием, занятым транспортированием газа по трубопроводам, в связи с перераспределением объёмов между территориальными подразделениями, а также снижение объёма услуг некоторых предприятий вспомогательной транспортной деятельности, связанной с пер</w:t>
      </w:r>
      <w:r>
        <w:rPr>
          <w:sz w:val="28"/>
        </w:rPr>
        <w:t>евозками, в связи прекращением самостоятельной транспортировки автопарком и заключением договоров на транспортно-экспедиционные услуги со сторонними организациями.</w:t>
      </w:r>
    </w:p>
    <w:p w14:paraId="42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Так, в 2026 году объём услуг предприятий, занятых транспортировкой и хранением, составит 93,</w:t>
      </w:r>
      <w:r>
        <w:rPr>
          <w:sz w:val="28"/>
        </w:rPr>
        <w:t xml:space="preserve">2 млрд рублей против ранее прогнозируемых           100,6 млрд рублей, в 2027 году – 98,6 млрд рублей против ранее прогнозируемых 104,7 млрд рублей, а к концу 2030 года возрастёт по отношению к базовому 2024 году почти в 1,4 раза и достигнет 114,6 млрд рублей. </w:t>
      </w:r>
    </w:p>
    <w:p w14:paraId="43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Ключевыми драйверами роста сегмента автомобильных грузоперевозок выступают следующие факторы:</w:t>
      </w:r>
    </w:p>
    <w:p w14:paraId="44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продолжающееся развитие электронной коммерции и розничных торговых сетей;</w:t>
      </w:r>
    </w:p>
    <w:p w14:paraId="45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стабилизация логистики комплектующих, нахождение оптимальных каналов поставок. </w:t>
      </w:r>
    </w:p>
    <w:p w14:paraId="46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сокращение сроков доставки;</w:t>
      </w:r>
    </w:p>
    <w:p w14:paraId="47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оптимизация бизнес-процессов и расширение географии доставок. </w:t>
      </w:r>
    </w:p>
    <w:p w14:paraId="48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К сдерживающим факторам роста объёма услуг по перевозке и деятельности автомобильного грузового транспорта можно отнести:</w:t>
      </w:r>
    </w:p>
    <w:p w14:paraId="49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сохраняющийся дефицит квалифицированных водителей;</w:t>
      </w:r>
    </w:p>
    <w:p w14:paraId="4A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повышение цен на гр</w:t>
      </w:r>
      <w:r>
        <w:rPr>
          <w:sz w:val="28"/>
        </w:rPr>
        <w:t>узовой транспорт, топливо, автозапчасти и обслуживание.</w:t>
      </w:r>
    </w:p>
    <w:p w14:paraId="4B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Развитию городского пассажирского транспорта будет способствовать:</w:t>
      </w:r>
    </w:p>
    <w:p w14:paraId="4C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интеграция перевозок автобусами, трамваями, троллейбусами и пригородными поездами в единую мультимодальную сеть перевозок пассажиров;</w:t>
      </w:r>
    </w:p>
    <w:p w14:paraId="4D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развитие транспортной инфраструктуры для обеспечения регулярных перевозок;</w:t>
      </w:r>
    </w:p>
    <w:p w14:paraId="4E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приоритетное развитие городского электротранспорта на направлениях с высоким транспортным спросом;</w:t>
      </w:r>
    </w:p>
    <w:p w14:paraId="4F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повышение комфортабельности транспортных средств и доступности для маломобильных </w:t>
      </w:r>
      <w:r>
        <w:rPr>
          <w:sz w:val="28"/>
        </w:rPr>
        <w:t>категорий населения.</w:t>
      </w:r>
    </w:p>
    <w:p w14:paraId="50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Основными предполагаемыми факторами, которые могут в прогнозируемом периоде негативно отразиться на темпах развития грузовых перевозок железнодорожным транспортом, могут быть:</w:t>
      </w:r>
    </w:p>
    <w:p w14:paraId="51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продолжение тенденции переноса грузов с мультимодальных мар</w:t>
      </w:r>
      <w:r>
        <w:rPr>
          <w:sz w:val="28"/>
        </w:rPr>
        <w:t>шрутов на автомобильный транспорт из-за ухода международных операторов и высоких затрат на железнодорожные перевозки;</w:t>
      </w:r>
    </w:p>
    <w:p w14:paraId="52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инфраструктурные ограничения: высокая загруженность, дефицит подвижного состава и низкая оборачиваемость вагонов, устаревшее локомотивное </w:t>
      </w:r>
      <w:r>
        <w:rPr>
          <w:sz w:val="28"/>
        </w:rPr>
        <w:t>и путевое хозяйство, требующее значительных финансовых вложений на его ремонт и обновление при резком увеличении перевозок.</w:t>
      </w:r>
    </w:p>
    <w:p w14:paraId="53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Снижению рисков будут способствовать:</w:t>
      </w:r>
    </w:p>
    <w:p w14:paraId="54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расширение и усиление ремонтной базы локомотивов;</w:t>
      </w:r>
    </w:p>
    <w:p w14:paraId="55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ремонты всех видов путевого хозяйства, в пер</w:t>
      </w:r>
      <w:r>
        <w:rPr>
          <w:sz w:val="28"/>
        </w:rPr>
        <w:t>вую очередь ходовых путей и путей, по которым проходят маршруты с опасными грузами;</w:t>
      </w:r>
    </w:p>
    <w:p w14:paraId="56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постоянное улучшение технического состояния имеющейся инфраструктуры.</w:t>
      </w:r>
    </w:p>
    <w:p w14:paraId="57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К главным факторам и ограничениям роста объёмов услуг трубопроводного транспорта в прогнозируемом пери</w:t>
      </w:r>
      <w:r>
        <w:rPr>
          <w:sz w:val="28"/>
        </w:rPr>
        <w:t>оде можно отнести:</w:t>
      </w:r>
    </w:p>
    <w:p w14:paraId="58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увеличение затрат на ремонты в связи с износом оборудования;</w:t>
      </w:r>
    </w:p>
    <w:p w14:paraId="59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потерю выручки в связи с перебоями в трубопроводах;</w:t>
      </w:r>
    </w:p>
    <w:p w14:paraId="5A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изменение тарифов;</w:t>
      </w:r>
    </w:p>
    <w:p w14:paraId="5B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переход на альтернативные источники энергии;</w:t>
      </w:r>
    </w:p>
    <w:p w14:paraId="5C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введение ограничительных мер в отношении российских </w:t>
      </w:r>
      <w:r>
        <w:rPr>
          <w:sz w:val="28"/>
        </w:rPr>
        <w:t>компаний;</w:t>
      </w:r>
    </w:p>
    <w:p w14:paraId="5D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риски невыполнения обязательств по транзиту при транспорте газа через территорию транзитных стран.</w:t>
      </w:r>
    </w:p>
    <w:p w14:paraId="5E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Минимизации риска снижения уровня поставок будет способствовать:</w:t>
      </w:r>
    </w:p>
    <w:p w14:paraId="5F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реализация комплекса мер, направленных как на создание новой инфраструктуры, так и</w:t>
      </w:r>
      <w:r>
        <w:rPr>
          <w:sz w:val="28"/>
        </w:rPr>
        <w:t xml:space="preserve"> на стимулирование спроса на газ как наиболее экологичный из ископаемых энергоносителей и укрепление позиций в секторах, где возможны поставки дополнительных объёмов газа;</w:t>
      </w:r>
    </w:p>
    <w:p w14:paraId="60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реализация политики обеспечения технологической независимости и импортозамещения;</w:t>
      </w:r>
    </w:p>
    <w:p w14:paraId="61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ре</w:t>
      </w:r>
      <w:r>
        <w:rPr>
          <w:sz w:val="28"/>
        </w:rPr>
        <w:t>ализация мероприятий по диверсификации экспортных маршрутов, расширению возможностей по доступу к подземным хранилищам газа;</w:t>
      </w:r>
    </w:p>
    <w:p w14:paraId="62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проведение диверсификации рынков и каналов сбыта энергоносителей, расширение области использования природного газа.</w:t>
      </w:r>
    </w:p>
    <w:p w14:paraId="63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К возможным </w:t>
      </w:r>
      <w:r>
        <w:rPr>
          <w:sz w:val="28"/>
        </w:rPr>
        <w:t>рискам, сдерживающим развитие авиаперевозок в прогнозируемом периоде, можно отнести:</w:t>
      </w:r>
    </w:p>
    <w:p w14:paraId="64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низкую интенсивность полётов из аэропорта Краснодара, связанную с обеспечением их безопасности;</w:t>
      </w:r>
    </w:p>
    <w:p w14:paraId="65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увеличение себестоимости перелётов, обусловленное ростом стоимости горюче-с</w:t>
      </w:r>
      <w:r>
        <w:rPr>
          <w:sz w:val="28"/>
        </w:rPr>
        <w:t>мазочных материалов, обслуживания воздушных судов в аэропорту и аэронавигационного обслуживания;</w:t>
      </w:r>
    </w:p>
    <w:p w14:paraId="66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проблемы с поддержанием лётной годности авиационной техники;</w:t>
      </w:r>
    </w:p>
    <w:p w14:paraId="67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усиление конкуренции со стороны железнодорожного транспорта на некоторых маршрутах.</w:t>
      </w:r>
    </w:p>
    <w:p w14:paraId="68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Снижению риско</w:t>
      </w:r>
      <w:r>
        <w:rPr>
          <w:sz w:val="28"/>
        </w:rPr>
        <w:t>в в развитии воздушного транспорта будут способствовать:</w:t>
      </w:r>
    </w:p>
    <w:p w14:paraId="69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дальнейшее развитие и модернизация авиационной инфраструктуры;</w:t>
      </w:r>
    </w:p>
    <w:p w14:paraId="6A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реализация программ импортозамещения (активный рост доли отечественных материалов и комплектующих в составе российской авиационной проду</w:t>
      </w:r>
      <w:r>
        <w:rPr>
          <w:sz w:val="28"/>
        </w:rPr>
        <w:t>кции);</w:t>
      </w:r>
    </w:p>
    <w:p w14:paraId="6B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восстановление спроса на пассажирские авиаперевозки и развитие маршрутной сети.</w:t>
      </w:r>
    </w:p>
    <w:p w14:paraId="6C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8.4. Потребительский рынок</w:t>
      </w:r>
    </w:p>
    <w:p w14:paraId="6D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Развитие потребительского рынка обеспечивается, с одной стороны, ростом розничных продаж, расширением торговой сети и изменением её структуры,</w:t>
      </w:r>
      <w:r>
        <w:rPr>
          <w:sz w:val="28"/>
        </w:rPr>
        <w:t xml:space="preserve"> а с другой – созданием современных торговых предприятий, к новым форматам которых относятся торговые комплексы и торговые центры. </w:t>
      </w:r>
    </w:p>
    <w:p w14:paraId="6E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Проблемами развития отечественного потребительского рынка являются:</w:t>
      </w:r>
    </w:p>
    <w:p w14:paraId="6F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обеспечение ценовой доступности товаров и услуг для мало</w:t>
      </w:r>
      <w:r>
        <w:rPr>
          <w:sz w:val="28"/>
        </w:rPr>
        <w:t>обеспеченных слоёв населения;</w:t>
      </w:r>
    </w:p>
    <w:p w14:paraId="70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система размещения объектов потребительского рынка, которая не всегда отвечает потребностям населения;</w:t>
      </w:r>
    </w:p>
    <w:p w14:paraId="71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введение международных экономических санкций, что привело к</w:t>
      </w:r>
      <w:r>
        <w:t xml:space="preserve"> </w:t>
      </w:r>
      <w:r>
        <w:rPr>
          <w:sz w:val="28"/>
        </w:rPr>
        <w:t>сокращению объёмов импортируемой продукции и снижению объёмов п</w:t>
      </w:r>
      <w:r>
        <w:rPr>
          <w:sz w:val="28"/>
        </w:rPr>
        <w:t>родаж.</w:t>
      </w:r>
    </w:p>
    <w:p w14:paraId="72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 Для решения вышеуказанных задач необходимо принять и внедрить решения по следующим направлениям:</w:t>
      </w:r>
    </w:p>
    <w:p w14:paraId="73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активное участие торговых предприятий в реализации социальной политики;</w:t>
      </w:r>
    </w:p>
    <w:p w14:paraId="74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рационализация розничной сети и совершенствование её структуры, создание услови</w:t>
      </w:r>
      <w:r>
        <w:rPr>
          <w:sz w:val="28"/>
        </w:rPr>
        <w:t>й для развития малой розничной сети и магазинов, занимающихся продажей товаров народного потребления в жилых массивах;</w:t>
      </w:r>
    </w:p>
    <w:p w14:paraId="75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увеличение доли товаров российского производства в объёмах продаж;</w:t>
      </w:r>
    </w:p>
    <w:p w14:paraId="76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развитие электронной коммерции, способствующей снижению себестоимости п</w:t>
      </w:r>
      <w:r>
        <w:rPr>
          <w:sz w:val="28"/>
        </w:rPr>
        <w:t xml:space="preserve">родукта при сохранении его ключевых функций путём сокращения расходов на хранение, логистику, маркетинговые кампании; </w:t>
      </w:r>
    </w:p>
    <w:p w14:paraId="77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усиление роли дистанционной торговли посредством служб доставки. </w:t>
      </w:r>
    </w:p>
    <w:p w14:paraId="78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Одним из наиболее значимых моментов развития розничной торговли можно с</w:t>
      </w:r>
      <w:r>
        <w:rPr>
          <w:sz w:val="28"/>
        </w:rPr>
        <w:t>читать качественное изменение её форматов:</w:t>
      </w:r>
    </w:p>
    <w:p w14:paraId="79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возвращение популярности «магазина у дома»;</w:t>
      </w:r>
    </w:p>
    <w:p w14:paraId="7A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постепенное увеличение доли продаж товаров под собственной торговой маркой;</w:t>
      </w:r>
    </w:p>
    <w:p w14:paraId="7B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активное развитие онлайн-торговли.</w:t>
      </w:r>
    </w:p>
    <w:p w14:paraId="7C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Структурные изменения рынка ритейла, начавшиеся в 2022 год</w:t>
      </w:r>
      <w:r>
        <w:rPr>
          <w:sz w:val="28"/>
        </w:rPr>
        <w:t>у, привели к укреплению отечественных компаний и росту доли товаров российского производства в объёме продаж. Данная тенденция продолжится и в прогнозируемом периоде. Розничная торговля адаптировалась к новым рыночным условиям. За 5 лет доля некоторых мес</w:t>
      </w:r>
      <w:r>
        <w:rPr>
          <w:sz w:val="28"/>
        </w:rPr>
        <w:t>тных продуктов</w:t>
      </w:r>
      <w:r>
        <w:rPr>
          <w:sz w:val="28"/>
        </w:rPr>
        <w:t xml:space="preserve"> в сетевых магазинах </w:t>
      </w:r>
      <w:r>
        <w:rPr>
          <w:sz w:val="28"/>
        </w:rPr>
        <w:t>достигла 80%. Несмотря на сложную экономическую ситуацию, предприятия потребительской сферы функционируют и планомерно развиваются.</w:t>
      </w:r>
    </w:p>
    <w:p w14:paraId="7D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По итогам 2024 года оборот розничной торговли составил                 1059,0 млрд рублей, что </w:t>
      </w:r>
      <w:r>
        <w:rPr>
          <w:sz w:val="28"/>
        </w:rPr>
        <w:t>на 24,0 млрд рублей ниже ранее прогнозируемого значения – 1083,0 мл</w:t>
      </w:r>
      <w:r>
        <w:rPr>
          <w:sz w:val="28"/>
        </w:rPr>
        <w:t xml:space="preserve">рд рублей. Основная причина – снижение оборота малых предприятий на </w:t>
      </w:r>
      <w:r>
        <w:rPr>
          <w:sz w:val="28"/>
        </w:rPr>
        <w:t>27,6%</w:t>
      </w:r>
      <w:r>
        <w:rPr>
          <w:sz w:val="28"/>
        </w:rPr>
        <w:t xml:space="preserve"> в </w:t>
      </w:r>
      <w:r>
        <w:rPr>
          <w:sz w:val="28"/>
        </w:rPr>
        <w:t xml:space="preserve">сопоставимых ценах.  </w:t>
      </w:r>
    </w:p>
    <w:p w14:paraId="7E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rFonts w:ascii="PT Astra Serif" w:hAnsi="PT Astra Serif"/>
          <w:sz w:val="28"/>
        </w:rPr>
        <w:t>В 2025 году отмечается тенденция снижения продаж автотранспортных средств на фоне значительн</w:t>
      </w:r>
      <w:r>
        <w:rPr>
          <w:rFonts w:ascii="PT Astra Serif" w:hAnsi="PT Astra Serif"/>
          <w:sz w:val="28"/>
        </w:rPr>
        <w:t xml:space="preserve">ого их роста в предшествующем году. Темп роста розничного оборота крупных и средних предприятий оценивается на уровне </w:t>
      </w:r>
      <w:r>
        <w:rPr>
          <w:rFonts w:ascii="PT Astra Serif" w:hAnsi="PT Astra Serif"/>
          <w:sz w:val="28"/>
        </w:rPr>
        <w:t>85,2%, полного круга – 101,5%, чем обусловлена корректировка ранее прогнозируемого показателя в сторону уменьшения на 69,8 млрд рублей.</w:t>
      </w:r>
    </w:p>
    <w:p w14:paraId="7F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Про</w:t>
      </w:r>
      <w:r>
        <w:rPr>
          <w:sz w:val="28"/>
        </w:rPr>
        <w:t>гнозируемые значения на 2026 год и 2027 год незначительно скорректированы в сторону уменьшения на 27,6 млрд рублей и 9,2 млрд руб-лей, соответственно.</w:t>
      </w:r>
    </w:p>
    <w:p w14:paraId="80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Индустрия общественного питания является перспективным и быстроразвивающимся направлением и одной из наибо</w:t>
      </w:r>
      <w:r>
        <w:rPr>
          <w:sz w:val="28"/>
        </w:rPr>
        <w:t>лее популярных ниш потребительского рынка.</w:t>
      </w:r>
    </w:p>
    <w:p w14:paraId="81000000">
      <w:pPr>
        <w:widowControl w:val="1"/>
        <w:spacing w:line="264" w:lineRule="auto"/>
        <w:ind w:firstLine="709"/>
        <w:jc w:val="both"/>
      </w:pPr>
      <w:r>
        <w:rPr>
          <w:sz w:val="28"/>
        </w:rPr>
        <w:t>Введение санкций привело к резкому разрыву логистических и производственных цепочек и уходу с рынка зарубежных поставщиков продуктов, приостановлению деятельности отдельных предприятий</w:t>
      </w:r>
      <w:r>
        <w:t>.</w:t>
      </w:r>
    </w:p>
    <w:p w14:paraId="82000000">
      <w:pPr>
        <w:widowControl w:val="1"/>
        <w:spacing w:line="264" w:lineRule="auto"/>
        <w:ind w:firstLine="709"/>
        <w:jc w:val="both"/>
        <w:rPr>
          <w:color w:val="000000"/>
          <w:sz w:val="28"/>
        </w:rPr>
      </w:pPr>
      <w:r>
        <w:rPr>
          <w:sz w:val="28"/>
        </w:rPr>
        <w:t>В новых условиях предприяти</w:t>
      </w:r>
      <w:r>
        <w:rPr>
          <w:sz w:val="28"/>
        </w:rPr>
        <w:t>я общепита фокусируются на повышении операционной эффективности: централизуют закупки ингредиентов, внедряют инструменты для контроля эффективности расходов на маркетинг, а также оптимизируют расходы за счёт внедрения заказов через мобильные прило</w:t>
      </w:r>
      <w:r>
        <w:rPr>
          <w:color w:val="000000"/>
          <w:sz w:val="28"/>
        </w:rPr>
        <w:t>жения</w:t>
      </w:r>
      <w:r>
        <w:rPr>
          <w:rFonts w:ascii="MADE Evolve Sans" w:hAnsi="MADE Evolve Sans"/>
          <w:color w:val="000000"/>
          <w:sz w:val="27"/>
        </w:rPr>
        <w:t xml:space="preserve">. </w:t>
      </w:r>
    </w:p>
    <w:p w14:paraId="83000000">
      <w:pPr>
        <w:widowControl w:val="1"/>
        <w:spacing w:line="264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color w:val="000000"/>
          <w:sz w:val="28"/>
        </w:rPr>
        <w:t>П</w:t>
      </w:r>
      <w:r>
        <w:rPr>
          <w:color w:val="000000"/>
          <w:sz w:val="28"/>
        </w:rPr>
        <w:t>о итогам 2024 года оборот общественного питания составил               47,7 млрд рублей, что на 1,1 млрд рублей ниже ранее прогнозируемого значения – 48,8 млрд рублей. Это обусловлено снижением оборота предприятий, оказывающих услуги в сфере школьного питания по причине</w:t>
      </w:r>
      <w:r>
        <w:rPr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сокращения количества питающихся учащихся и увеличения количества льготных категорий учащихся.</w:t>
      </w:r>
    </w:p>
    <w:p w14:paraId="84000000">
      <w:pPr>
        <w:widowControl w:val="1"/>
        <w:spacing w:line="264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Увеличение точек общественного питания у дома; рост предприятий, организующих услуги готовой еды на вынос; переход предприятий на оказание услуги доставки; о</w:t>
      </w:r>
      <w:r>
        <w:rPr>
          <w:rFonts w:ascii="PT Astra Serif" w:hAnsi="PT Astra Serif"/>
          <w:color w:val="000000"/>
          <w:sz w:val="28"/>
        </w:rPr>
        <w:t>ткр</w:t>
      </w:r>
      <w:r>
        <w:rPr>
          <w:rFonts w:ascii="PT Astra Serif" w:hAnsi="PT Astra Serif"/>
          <w:color w:val="000000"/>
          <w:sz w:val="28"/>
        </w:rPr>
        <w:t>ытие сетевых предприятий в новых микрорайонах</w:t>
      </w:r>
      <w:r>
        <w:rPr>
          <w:color w:val="000000"/>
          <w:sz w:val="28"/>
        </w:rPr>
        <w:t xml:space="preserve"> позволит сохранить положительную динамику развития отрасли общественного питания в целом на весь прогнозируемый период.</w:t>
      </w:r>
    </w:p>
    <w:p w14:paraId="85000000">
      <w:pPr>
        <w:widowControl w:val="1"/>
        <w:spacing w:line="264" w:lineRule="auto"/>
        <w:ind w:firstLine="709"/>
        <w:jc w:val="both"/>
        <w:rPr>
          <w:spacing w:val="2"/>
          <w:sz w:val="28"/>
        </w:rPr>
      </w:pPr>
      <w:r>
        <w:rPr>
          <w:color w:val="000000"/>
          <w:sz w:val="28"/>
        </w:rPr>
        <w:t>С 2025 года прогнозируемые показатели скорректированы в сторону увелич</w:t>
      </w:r>
      <w:r>
        <w:rPr>
          <w:sz w:val="28"/>
        </w:rPr>
        <w:t xml:space="preserve">ения. </w:t>
      </w:r>
    </w:p>
    <w:p w14:paraId="86000000">
      <w:pPr>
        <w:widowControl w:val="1"/>
        <w:spacing w:line="264" w:lineRule="auto"/>
        <w:ind w:firstLine="1" w:left="708"/>
        <w:rPr>
          <w:spacing w:val="2"/>
          <w:sz w:val="28"/>
        </w:rPr>
      </w:pPr>
      <w:r>
        <w:rPr>
          <w:spacing w:val="2"/>
          <w:sz w:val="28"/>
        </w:rPr>
        <w:t>8.5. Инвестиц</w:t>
      </w:r>
      <w:r>
        <w:rPr>
          <w:spacing w:val="2"/>
          <w:sz w:val="28"/>
        </w:rPr>
        <w:t>ии, строительство, ввод жилья</w:t>
      </w:r>
    </w:p>
    <w:p w14:paraId="87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 2024 году объём инвестиций в основной капитал составил                 367,9 млрд рублей, что выше ранее прогнозируемого значения на                    74,9 млрд рублей. На высокий рост показателя повлияло увеличение объёма инвестиций в основной капитал по гру</w:t>
      </w:r>
      <w:r>
        <w:rPr>
          <w:sz w:val="28"/>
        </w:rPr>
        <w:t xml:space="preserve">ппе «крупные и средние» предприятия. </w:t>
      </w:r>
    </w:p>
    <w:p w14:paraId="88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 2024 году велась активная работа с предприятиями и организациями по предоставлению в органы статистики формы П-2 (инвест). Благодаря этому расширился перечень крупных предприятий. Впервые представили отчетность с о</w:t>
      </w:r>
      <w:r>
        <w:rPr>
          <w:sz w:val="28"/>
        </w:rPr>
        <w:t xml:space="preserve">бъёмом инвестиций </w:t>
      </w:r>
      <w:r>
        <w:rPr>
          <w:sz w:val="28"/>
        </w:rPr>
        <w:t xml:space="preserve">свыше 10,0 млрд рублей </w:t>
      </w:r>
      <w:r>
        <w:rPr>
          <w:rFonts w:ascii="PT Astra Serif" w:hAnsi="PT Astra Serif"/>
          <w:sz w:val="28"/>
        </w:rPr>
        <w:t>предприятие, занятое деятельностью в области архитектуры, ОКВЭД 71.12.2</w:t>
      </w:r>
      <w:r>
        <w:rPr>
          <w:sz w:val="28"/>
        </w:rPr>
        <w:t xml:space="preserve">, и предприятие, занятое в строительной отрасли, ОКВЭД 43.12; </w:t>
      </w:r>
      <w:r>
        <w:rPr>
          <w:sz w:val="28"/>
        </w:rPr>
        <w:t>от 4,0 до 10,0 млрд рублей – строительная организация, ОКВЭД 71.12.2.</w:t>
      </w:r>
    </w:p>
    <w:p w14:paraId="89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Значительно увели</w:t>
      </w:r>
      <w:r>
        <w:rPr>
          <w:sz w:val="28"/>
        </w:rPr>
        <w:t>чили объёмы инвестиций ряд предприятий, занятых:</w:t>
      </w:r>
    </w:p>
    <w:p w14:paraId="8A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деятельностью в области архитектуры,</w:t>
      </w:r>
      <w:r>
        <w:rPr>
          <w:sz w:val="28"/>
        </w:rPr>
        <w:t xml:space="preserve"> раздел М «Деятельность профессиональная, научная и техническая» – из группы свыше 7,0 млрд рублей перешли в группу свыше 10,0 млрд рублей;</w:t>
      </w:r>
    </w:p>
    <w:p w14:paraId="8B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транспортировкой,</w:t>
      </w:r>
      <w:r>
        <w:rPr>
          <w:sz w:val="28"/>
        </w:rPr>
        <w:t xml:space="preserve"> раздел Н «Транспортиров</w:t>
      </w:r>
      <w:r>
        <w:rPr>
          <w:sz w:val="28"/>
        </w:rPr>
        <w:t>ка и хранение» - из группы свыше 7 млрд рублей перешли в группу свыше 10,0 млрд рублей;</w:t>
      </w:r>
    </w:p>
    <w:p w14:paraId="8C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 деятельностью в области культуры, спорта, организации досуга и развлечений, раздел R - из группы от 500,0 млн рублей до 1,0 млрд рублей перешли в группу от 4,0 до 10,0 млрд рублей;</w:t>
      </w:r>
    </w:p>
    <w:p w14:paraId="8D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 розни</w:t>
      </w:r>
      <w:r>
        <w:rPr>
          <w:sz w:val="28"/>
        </w:rPr>
        <w:t>чной торговле, раздел G «Торговля оптовая и розничная; ремонт автотранспортных средств и мотоциклов» – из группы от 3,0 до 7,0 млрд руб-лей перешли в группу свыше 10,0 млрд рублей.</w:t>
      </w:r>
    </w:p>
    <w:p w14:paraId="8E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С учётом складывающихся тенденций показатель скорректирован в сторону увеличения до 2027 </w:t>
      </w:r>
      <w:r>
        <w:rPr>
          <w:sz w:val="28"/>
        </w:rPr>
        <w:t>года.</w:t>
      </w:r>
    </w:p>
    <w:p w14:paraId="8F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Строительная отрасль является важным макросектором экономики города.</w:t>
      </w:r>
    </w:p>
    <w:p w14:paraId="90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К сдерживающим факторам её развития можно отнести:</w:t>
      </w:r>
    </w:p>
    <w:p w14:paraId="91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значительное повышение процентных ставок на коммерческое кредитование и ипотеку;</w:t>
      </w:r>
    </w:p>
    <w:p w14:paraId="92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сохраняющийся недостаток квалифицированных </w:t>
      </w:r>
      <w:r>
        <w:rPr>
          <w:sz w:val="28"/>
        </w:rPr>
        <w:t>специалистов;</w:t>
      </w:r>
    </w:p>
    <w:p w14:paraId="93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недостаточная заинтересованность строительных организаций во внедрении цифровых технологий. </w:t>
      </w:r>
    </w:p>
    <w:p w14:paraId="94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Продолжает оказывать негативное влияние и ряд факторов, связанных с введением санкций: повышение стоимости материалов и оборудования, логистические п</w:t>
      </w:r>
      <w:r>
        <w:rPr>
          <w:sz w:val="28"/>
        </w:rPr>
        <w:t>роблемы.</w:t>
      </w:r>
    </w:p>
    <w:p w14:paraId="95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Основной путь решения проблемы — это использование местных строительных материалов, импортозамещение ввозимых в Россию отдельных компонентов, рост производительности</w:t>
      </w:r>
      <w:r>
        <w:rPr>
          <w:color w:val="222222"/>
          <w:sz w:val="28"/>
        </w:rPr>
        <w:t xml:space="preserve"> </w:t>
      </w:r>
      <w:r>
        <w:rPr>
          <w:sz w:val="28"/>
        </w:rPr>
        <w:t>труда и цифровизация отрасли.</w:t>
      </w:r>
    </w:p>
    <w:p w14:paraId="96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Несмотря на сложности, строительная отрасль города </w:t>
      </w:r>
      <w:r>
        <w:rPr>
          <w:sz w:val="28"/>
        </w:rPr>
        <w:t>Краснодара сохранит положительную динамику.</w:t>
      </w:r>
    </w:p>
    <w:p w14:paraId="97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По сравнению с ранее прогнозируемыми значениями на 2025-2027 годы объёмы работ, выполненных по виду деятельности «строительство», скорректированы в сторону увеличения в среднем на 25,9 млрд рублей в год.</w:t>
      </w:r>
    </w:p>
    <w:p w14:paraId="98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Существе</w:t>
      </w:r>
      <w:r>
        <w:rPr>
          <w:sz w:val="28"/>
        </w:rPr>
        <w:t>нную роль в развитии строительной отрасли будет играть государство, выступая крупным инвестором по запуску новых инфраструктурных проектов - строительство дорог, социальных объектов и т.д.</w:t>
      </w:r>
    </w:p>
    <w:p w14:paraId="99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 текущем году планируется ввести в эксплуатацию 26 социальных объ</w:t>
      </w:r>
      <w:r>
        <w:rPr>
          <w:sz w:val="28"/>
        </w:rPr>
        <w:t>ектов, в 2026 году – 30 социальных объектов.  В настоящее время на стадии проектирования находится 71 объект, на стадии предпроектной подготовки –  62 объекта.</w:t>
      </w:r>
    </w:p>
    <w:p w14:paraId="9A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Продолжится строительство нового аэропорта, промышленных объектов, реконструкция Западного обхода</w:t>
      </w:r>
      <w:r>
        <w:rPr>
          <w:sz w:val="28"/>
        </w:rPr>
        <w:t>, развитие трамвайной сети и коммунальной инфраструктуры.</w:t>
      </w:r>
    </w:p>
    <w:p w14:paraId="9B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 2024 году введено в эксплуатацию 2,9 млн кв. м жилья, темп роста к предшествующему году 89,4%. Тенденция отрицательной динамики жилищного строительства сохранится и в оценке 2025 года. Причины</w:t>
      </w:r>
      <w:r>
        <w:rPr>
          <w:sz w:val="28"/>
        </w:rPr>
        <w:t xml:space="preserve"> снижения ввода жилья по сравнению с ранее прогнозируемыми значениями:</w:t>
      </w:r>
    </w:p>
    <w:p w14:paraId="9C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рост кредитных ставок на проектное финансирование;</w:t>
      </w:r>
    </w:p>
    <w:p w14:paraId="9D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исчерпание эффекта от регистрации домов в рамках дачной амнистии и программы бесплатной газификации;</w:t>
      </w:r>
    </w:p>
    <w:p w14:paraId="9E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повышение государственных пошлин </w:t>
      </w:r>
      <w:r>
        <w:rPr>
          <w:sz w:val="28"/>
        </w:rPr>
        <w:t>на регистрацию нового строительства индивидуальных домов;</w:t>
      </w:r>
    </w:p>
    <w:p w14:paraId="9F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склонность граждан к сбережению на фоне роста ключевой ставки.</w:t>
      </w:r>
    </w:p>
    <w:p w14:paraId="A0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 прогнозируемом периоде</w:t>
      </w:r>
      <w:r>
        <w:rPr>
          <w:sz w:val="28"/>
        </w:rPr>
        <w:t xml:space="preserve"> (2026-2030 годы) </w:t>
      </w:r>
      <w:bookmarkStart w:id="1" w:name="_GoBack"/>
      <w:bookmarkEnd w:id="1"/>
      <w:r>
        <w:rPr>
          <w:sz w:val="28"/>
        </w:rPr>
        <w:t>темпы роста жилищного строительства сохранят свою положительную динамику</w:t>
      </w:r>
      <w:r>
        <w:rPr>
          <w:sz w:val="28"/>
        </w:rPr>
        <w:t>.</w:t>
      </w:r>
    </w:p>
    <w:p w14:paraId="A1000000">
      <w:pPr>
        <w:widowControl w:val="1"/>
        <w:tabs>
          <w:tab w:leader="none" w:pos="993" w:val="left"/>
        </w:tabs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8.6. Доходы предприятий курортно-туристского </w:t>
      </w:r>
      <w:r>
        <w:rPr>
          <w:sz w:val="28"/>
        </w:rPr>
        <w:t>комплекса (с учётом доходов малых предприятий и физических лиц)</w:t>
      </w:r>
    </w:p>
    <w:p w14:paraId="A2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Доходы предприятий курортно-туристского комплекса по итогам        2024 года составили 6,0 млрд рублей, что на 0,6 млрд рублей ниже ранее прогнозируемого значения.  Основная причина – прекращение д</w:t>
      </w:r>
      <w:r>
        <w:rPr>
          <w:sz w:val="28"/>
        </w:rPr>
        <w:t xml:space="preserve">еятельности отдельных субъектов гостиничного бизнеса и запрет оказания гостиничных услуг в жилых помещениях. Снижение суммы доходов в 2024 году повлияло на уточнение ранее прогнозируемых значений на 2025–2027 годы. </w:t>
      </w:r>
    </w:p>
    <w:p w14:paraId="A3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К рискам развития курортно-туристского к</w:t>
      </w:r>
      <w:r>
        <w:rPr>
          <w:sz w:val="28"/>
        </w:rPr>
        <w:t>омплекса следует отнести отсутствие необходимых объёмов финансирования на развитие туризма и обновление туристской инфраструктуры.</w:t>
      </w:r>
    </w:p>
    <w:p w14:paraId="A4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 целью дальнейшего развития туристского комплекса города в прогнозируемом периоде необходимо продолжить:</w:t>
      </w:r>
    </w:p>
    <w:p w14:paraId="A5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создание новых уник</w:t>
      </w:r>
      <w:r>
        <w:rPr>
          <w:sz w:val="28"/>
        </w:rPr>
        <w:t>альных туристических продуктов;</w:t>
      </w:r>
    </w:p>
    <w:p w14:paraId="A6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увеличение количества туристских маршрутов, зелёных пешеходных зон, развлекательных, спортивных, культурных и прочих учреждений;</w:t>
      </w:r>
    </w:p>
    <w:p w14:paraId="A7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повышение транспортной доступности объектов туризма; </w:t>
      </w:r>
    </w:p>
    <w:p w14:paraId="A8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осуществление сотрудничества с национальными турпредстави-тельствами дружественных и нейтральных стран и национальными курортными ассоциациями с целью включения регионального турпродукта в списки их предложений.</w:t>
      </w:r>
    </w:p>
    <w:p w14:paraId="A9000000">
      <w:pPr>
        <w:widowControl w:val="1"/>
        <w:spacing w:line="264" w:lineRule="auto"/>
        <w:ind w:firstLine="0" w:left="709"/>
        <w:rPr>
          <w:sz w:val="28"/>
        </w:rPr>
      </w:pPr>
      <w:r>
        <w:rPr>
          <w:sz w:val="28"/>
        </w:rPr>
        <w:t>8.7. Прибыль прибыльных предприятий</w:t>
      </w:r>
    </w:p>
    <w:p w14:paraId="AA000000">
      <w:pPr>
        <w:widowControl w:val="1"/>
        <w:spacing w:line="264" w:lineRule="auto"/>
        <w:ind w:firstLine="709"/>
        <w:jc w:val="both"/>
        <w:rPr>
          <w:color w:val="000000"/>
          <w:sz w:val="28"/>
        </w:rPr>
      </w:pPr>
      <w:r>
        <w:rPr>
          <w:sz w:val="28"/>
        </w:rPr>
        <w:t>По итогам</w:t>
      </w:r>
      <w:r>
        <w:rPr>
          <w:sz w:val="28"/>
        </w:rPr>
        <w:t xml:space="preserve"> 2024 года прибыль прибыльных предприятий составила        491,5 млрд рублей, что ниже ранее планируемого значения на 47,2 млрд рублей, или на 8,8%. Наиболее существенное снижение отмечается у предприятий прочих видов деятельности. Это вызвано завы</w:t>
      </w:r>
      <w:r>
        <w:rPr>
          <w:sz w:val="28"/>
        </w:rPr>
        <w:t>шенной базой 2023 года (проведение  ООО</w:t>
      </w:r>
      <w:r>
        <w:rPr>
          <w:color w:val="000000"/>
          <w:sz w:val="28"/>
        </w:rPr>
        <w:t xml:space="preserve"> «Магнит Альянс» сделки по выкупу акций), ухудшением финансовых показателей предприятий, занятых в финансовой и страховой сфере и предприятий, осуществляющих деятельность по операциям с недвижимым имуществом.</w:t>
      </w:r>
    </w:p>
    <w:p w14:paraId="AB000000">
      <w:pPr>
        <w:widowControl w:val="1"/>
        <w:spacing w:line="264" w:lineRule="auto"/>
        <w:ind w:firstLine="709"/>
        <w:jc w:val="both"/>
        <w:rPr>
          <w:rFonts w:ascii="Tinos" w:hAnsi="Tinos"/>
          <w:color w:val="000000"/>
          <w:sz w:val="28"/>
        </w:rPr>
      </w:pPr>
      <w:r>
        <w:rPr>
          <w:color w:val="000000"/>
          <w:sz w:val="28"/>
        </w:rPr>
        <w:t>В 2025</w:t>
      </w:r>
      <w:r>
        <w:rPr>
          <w:color w:val="000000"/>
          <w:sz w:val="28"/>
        </w:rPr>
        <w:t xml:space="preserve"> году отмечается снижение прибыли (на 33%) у предприятий торговли, что объясняется</w:t>
      </w:r>
      <w:r>
        <w:rPr>
          <w:rFonts w:ascii="Tinos" w:hAnsi="Tinos"/>
          <w:color w:val="000000"/>
          <w:sz w:val="28"/>
        </w:rPr>
        <w:t xml:space="preserve"> сокращением экспорта зерна через российские порты, снижением цен на зерно, снижением динамики среднего чека, необходимостью рефинансирования по более высоким процентным ст</w:t>
      </w:r>
      <w:r>
        <w:rPr>
          <w:rFonts w:ascii="Tinos" w:hAnsi="Tinos"/>
          <w:color w:val="000000"/>
          <w:sz w:val="28"/>
        </w:rPr>
        <w:t>авкам  на долговом рынке.  Кроме того, значительно (на 53,4%) сократилась прибыль предприятий прочих видов деятельности. Это вызвано</w:t>
      </w:r>
      <w:r>
        <w:rPr>
          <w:color w:val="000000"/>
          <w:sz w:val="28"/>
        </w:rPr>
        <w:t xml:space="preserve"> ухудшением финансовых показателей предприятий, осуществляющих деятельность в финансовой сфере и предприятий, осуществляющи</w:t>
      </w:r>
      <w:r>
        <w:rPr>
          <w:color w:val="000000"/>
          <w:sz w:val="28"/>
        </w:rPr>
        <w:t xml:space="preserve">х деятельность с недвижимым имуществом. </w:t>
      </w:r>
    </w:p>
    <w:p w14:paraId="AC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результате прибыль прибыльных предприятий краевого центра в     2025 году снизится </w:t>
      </w:r>
      <w:r>
        <w:rPr>
          <w:sz w:val="28"/>
        </w:rPr>
        <w:t>на 35,3% и составит 318,0 млрд рублей.</w:t>
      </w:r>
      <w:r>
        <w:rPr>
          <w:sz w:val="28"/>
        </w:rPr>
        <w:t xml:space="preserve"> </w:t>
      </w:r>
      <w:r>
        <w:rPr>
          <w:sz w:val="28"/>
        </w:rPr>
        <w:t>При этом сумма прибыли прибыльных предприятий оценивается почти в 2 раза ниже ранее прогноз</w:t>
      </w:r>
      <w:r>
        <w:rPr>
          <w:sz w:val="28"/>
        </w:rPr>
        <w:t>ируемого значения.</w:t>
      </w:r>
    </w:p>
    <w:p w14:paraId="AD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Значительное снижение суммы прибыли прибыльных предприятий в   2024-2025 годах повлияло на уточнение ранее прогнозируемых значений на  2026–2028 годы. </w:t>
      </w:r>
    </w:p>
    <w:p w14:paraId="AE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На фоне продолжающихся вызовов и санкционного давления экономика войдёт в период охл</w:t>
      </w:r>
      <w:r>
        <w:rPr>
          <w:sz w:val="28"/>
        </w:rPr>
        <w:t>аждения после высоких темпов роста в предыдущие годы. В ближайшие три года ожидается дальнейшая трансформация экономики с упором на внутренний спрос в результате сдерживания роста российского экспорта и импорта.</w:t>
      </w:r>
    </w:p>
    <w:p w14:paraId="AF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 учётом этих тенденций в 2026 году при</w:t>
      </w:r>
      <w:r>
        <w:rPr>
          <w:sz w:val="28"/>
        </w:rPr>
        <w:t>быль прибыльных организаций прогнозируется в сумме 340,4 млрд рублей и увеличится относительно оценки 2025 года на 7,0%, относительно ранее прогнозируемого значения данный показатель снизится на 45,7%.</w:t>
      </w:r>
    </w:p>
    <w:p w14:paraId="B0000000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К концу прогнозируемого периода прибыль прибыльных п</w:t>
      </w:r>
      <w:r>
        <w:rPr>
          <w:sz w:val="28"/>
        </w:rPr>
        <w:t>редприятий достигнет 439,0 млрд рублей, что составит 89,3% к уровню базового 2024 года.</w:t>
      </w:r>
    </w:p>
    <w:p w14:paraId="B1000000">
      <w:pPr>
        <w:widowControl w:val="1"/>
        <w:spacing w:line="264" w:lineRule="auto"/>
        <w:ind w:firstLine="1" w:left="708"/>
        <w:rPr>
          <w:spacing w:val="2"/>
          <w:sz w:val="28"/>
        </w:rPr>
      </w:pPr>
      <w:r>
        <w:rPr>
          <w:spacing w:val="2"/>
          <w:sz w:val="28"/>
        </w:rPr>
        <w:t>8.8. Труд</w:t>
      </w:r>
    </w:p>
    <w:p w14:paraId="B2000000">
      <w:pPr>
        <w:widowControl w:val="1"/>
        <w:spacing w:line="264" w:lineRule="auto"/>
        <w:ind w:firstLine="709"/>
        <w:jc w:val="both"/>
        <w:rPr>
          <w:spacing w:val="2"/>
          <w:sz w:val="28"/>
        </w:rPr>
      </w:pPr>
      <w:r>
        <w:rPr>
          <w:spacing w:val="2"/>
          <w:sz w:val="28"/>
        </w:rPr>
        <w:t>В 2024 году фонд оплаты труда составил 425,9 млрд рублей, что на         10,9 млрд рублей, или на 2,6%, превышает ранее прогнозируемое значение. Основным фактором, повлиявшим на превышение прогнозных значений, послужил рост фонда заработной платы предприят</w:t>
      </w:r>
      <w:r>
        <w:rPr>
          <w:spacing w:val="2"/>
          <w:sz w:val="28"/>
        </w:rPr>
        <w:t xml:space="preserve">ий торговли, </w:t>
      </w:r>
      <w:r>
        <w:rPr>
          <w:sz w:val="28"/>
        </w:rPr>
        <w:t>предприятий, занятых деятельностью по оказанию финансовых услуг, деятельностью профессиональной, научной и технической</w:t>
      </w:r>
      <w:r>
        <w:rPr>
          <w:spacing w:val="2"/>
          <w:sz w:val="28"/>
        </w:rPr>
        <w:t>.</w:t>
      </w:r>
    </w:p>
    <w:p w14:paraId="B3000000">
      <w:pPr>
        <w:widowControl w:val="1"/>
        <w:spacing w:line="264" w:lineRule="auto"/>
        <w:ind w:firstLine="709"/>
        <w:jc w:val="both"/>
        <w:rPr>
          <w:rFonts w:ascii="Tinos" w:hAnsi="Tinos"/>
          <w:spacing w:val="2"/>
          <w:sz w:val="28"/>
        </w:rPr>
      </w:pPr>
      <w:r>
        <w:rPr>
          <w:spacing w:val="2"/>
          <w:sz w:val="28"/>
        </w:rPr>
        <w:t>В 2025–2028 годах фонд заработной платы скорректирован в сторону уменьшения в среднем на 15,3 млрд рублей. В</w:t>
      </w:r>
      <w:r>
        <w:rPr>
          <w:rFonts w:ascii="Tinos" w:hAnsi="Tinos"/>
          <w:sz w:val="28"/>
        </w:rPr>
        <w:t xml:space="preserve"> 2025 году и да</w:t>
      </w:r>
      <w:r>
        <w:rPr>
          <w:rFonts w:ascii="Tinos" w:hAnsi="Tinos"/>
          <w:sz w:val="28"/>
        </w:rPr>
        <w:t>лее ожидается замедление темпов роста заработных плат и доходов в реальном выражении. Темпы роста все равно остаются высокими, но при этом они меньше, чем были в 2024 году</w:t>
      </w:r>
      <w:r>
        <w:rPr>
          <w:rFonts w:ascii="Tinos" w:hAnsi="Tinos"/>
          <w:spacing w:val="2"/>
          <w:sz w:val="28"/>
        </w:rPr>
        <w:t>.</w:t>
      </w:r>
    </w:p>
    <w:p w14:paraId="B4000000">
      <w:pPr>
        <w:widowControl w:val="1"/>
        <w:spacing w:line="264" w:lineRule="auto"/>
        <w:ind w:firstLine="709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Уровень среднемесячной заработной платы по полному кругу предприятий в 2026 году </w:t>
      </w:r>
      <w:r>
        <w:rPr>
          <w:spacing w:val="2"/>
          <w:sz w:val="28"/>
        </w:rPr>
        <w:t>достигнет 98417 рублей, в 2027 году – 106504,2 руб-ля, что ниже ранее прогнозируемых значений на 7,3% и на 6,4% соответственно.</w:t>
      </w:r>
    </w:p>
    <w:p w14:paraId="B5000000">
      <w:pPr>
        <w:widowControl w:val="1"/>
        <w:spacing w:line="264" w:lineRule="auto"/>
        <w:ind w:firstLine="709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В 2030 году, к концу прогнозируемого периода, среднемесячная заработная плата достигнет 125814,3 рубля и увеличится относительно </w:t>
      </w:r>
      <w:r>
        <w:rPr>
          <w:spacing w:val="2"/>
          <w:sz w:val="28"/>
        </w:rPr>
        <w:t>базового 2024 года в 1,5 раза.</w:t>
      </w:r>
    </w:p>
    <w:p w14:paraId="B6000000">
      <w:pPr>
        <w:widowControl w:val="1"/>
        <w:spacing w:line="264" w:lineRule="auto"/>
        <w:ind w:firstLine="1" w:left="708"/>
        <w:rPr>
          <w:sz w:val="28"/>
        </w:rPr>
      </w:pPr>
      <w:r>
        <w:rPr>
          <w:sz w:val="28"/>
        </w:rPr>
        <w:t>8.9. Малое и среднее предпринимательство</w:t>
      </w:r>
    </w:p>
    <w:p w14:paraId="B7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2024 году количество субъектов малого и среднего предпринимательства (далее </w:t>
      </w:r>
      <w:r>
        <w:rPr>
          <w:sz w:val="28"/>
        </w:rPr>
        <w:t>–</w:t>
      </w:r>
      <w:r>
        <w:rPr>
          <w:sz w:val="28"/>
        </w:rPr>
        <w:t xml:space="preserve"> МСП) составило 100,8 тыс. единиц, что на       1,6 тыс. единиц превысило ранее прогнозируемое значение, в сторону увеличения были скорректированы </w:t>
      </w:r>
      <w:r>
        <w:rPr>
          <w:sz w:val="28"/>
        </w:rPr>
        <w:t>соответствующие показатели и на 2025-2027 годы. Росту количества субъектов МСП способствует предоставление имущественной, консультативной и информационной поддержки в рамках мероприятий муниципальной программы муниципального образования город Краснодар «Содействие р</w:t>
      </w:r>
      <w:r>
        <w:rPr>
          <w:sz w:val="28"/>
        </w:rPr>
        <w:t>азвитию малого и среднего предпринимательства в муниципальном образовании город Краснодар», утверждённой постановлением администрации муниципального образования город Краснодар от 17.10.2014    № 7604.</w:t>
      </w:r>
    </w:p>
    <w:p w14:paraId="B8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Численность работников в МСП</w:t>
      </w:r>
      <w:r>
        <w:rPr>
          <w:sz w:val="28"/>
        </w:rPr>
        <w:t xml:space="preserve"> (без учёта наёмных работников у индивидуальных предпринимателей) по состоянию на 01.01.2025 составила 167,3 тыс. человек, что выше ранее прогнозируемого значения на 2,3 тыс. че-ловек и связано с увеличением количества организаций </w:t>
      </w:r>
      <w:r>
        <w:rPr>
          <w:sz w:val="28"/>
        </w:rPr>
        <w:t xml:space="preserve">МСП. </w:t>
      </w:r>
    </w:p>
    <w:p w14:paraId="B9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К концу прогнозируемого периода количество субъектов МСП увеличится по отношению к базовому 2024 году почти на 6,3 тыс. единиц и превысит 107,1 тыс. единиц. </w:t>
      </w:r>
    </w:p>
    <w:p w14:paraId="BA000000">
      <w:pPr>
        <w:widowControl w:val="1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Переводом части работников субъектов МСП – юридических лиц в категорию самозанятых объясн</w:t>
      </w:r>
      <w:r>
        <w:rPr>
          <w:sz w:val="28"/>
        </w:rPr>
        <w:t xml:space="preserve">яется незначительный рост занятых в МСП в </w:t>
      </w:r>
      <w:r>
        <w:rPr>
          <w:sz w:val="28"/>
        </w:rPr>
        <w:t>прогнозируемом периоде. К концу 2030 года численность работников в МСП (без учёта наёмных работников у индивидуальных предпринимателей) превысит 174,0 тыс. человек и вырастет к базовому 2024 году на 6,7 тыс. че-лов</w:t>
      </w:r>
      <w:r>
        <w:rPr>
          <w:sz w:val="28"/>
        </w:rPr>
        <w:t>ек.</w:t>
      </w:r>
    </w:p>
    <w:p w14:paraId="BB000000">
      <w:pPr>
        <w:widowControl w:val="1"/>
        <w:spacing w:line="264" w:lineRule="auto"/>
        <w:ind w:firstLine="709"/>
        <w:jc w:val="both"/>
        <w:rPr>
          <w:sz w:val="24"/>
        </w:rPr>
      </w:pPr>
    </w:p>
    <w:p w14:paraId="BC000000">
      <w:pPr>
        <w:widowControl w:val="1"/>
        <w:spacing w:line="264" w:lineRule="auto"/>
        <w:ind w:firstLine="709"/>
        <w:jc w:val="both"/>
        <w:rPr>
          <w:sz w:val="24"/>
        </w:rPr>
      </w:pPr>
    </w:p>
    <w:p w14:paraId="BD000000">
      <w:pPr>
        <w:widowControl w:val="1"/>
        <w:spacing w:line="264" w:lineRule="auto"/>
        <w:ind w:firstLine="0"/>
        <w:jc w:val="both"/>
        <w:rPr>
          <w:sz w:val="28"/>
        </w:rPr>
      </w:pPr>
      <w:r>
        <w:rPr>
          <w:sz w:val="28"/>
        </w:rPr>
        <w:t>Начальник управления экономики</w:t>
      </w:r>
    </w:p>
    <w:p w14:paraId="BE000000">
      <w:pPr>
        <w:widowControl w:val="1"/>
        <w:spacing w:line="264" w:lineRule="auto"/>
        <w:ind w:firstLine="0"/>
        <w:jc w:val="both"/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14:paraId="BF000000">
      <w:pPr>
        <w:widowControl w:val="1"/>
        <w:spacing w:line="264" w:lineRule="auto"/>
        <w:ind w:firstLine="0"/>
        <w:jc w:val="both"/>
        <w:rPr>
          <w:sz w:val="28"/>
        </w:rPr>
      </w:pPr>
      <w:r>
        <w:rPr>
          <w:sz w:val="28"/>
        </w:rPr>
        <w:t>образования город Краснодар                                                         Е.С.Васильченко</w:t>
      </w:r>
    </w:p>
    <w:sectPr>
      <w:headerReference r:id="rId2" w:type="default"/>
      <w:headerReference r:id="rId3" w:type="first"/>
      <w:headerReference r:id="rId1" w:type="even"/>
      <w:pgSz w:h="16848" w:orient="portrait" w:w="11908"/>
      <w:pgMar w:bottom="1020" w:footer="0" w:gutter="0" w:header="624" w:left="1701" w:right="567" w:top="107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rPr>
        <w:sz w:val="16"/>
      </w:rPr>
    </w:pPr>
    <w:r>
      <w:rPr>
        <w:sz w:val="16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2" w:type="paragraph">
    <w:name w:val="Номер страницы1"/>
    <w:basedOn w:val="Style_4"/>
    <w:link w:val="Style_2_ch"/>
  </w:style>
  <w:style w:styleId="Style_2_ch" w:type="character">
    <w:name w:val="Номер страницы1"/>
    <w:basedOn w:val="Style_4_ch"/>
    <w:link w:val="Style_2"/>
  </w:style>
  <w:style w:styleId="Style_5" w:type="paragraph">
    <w:name w:val="Заголовок 5 Знак"/>
    <w:link w:val="Style_5_ch"/>
    <w:rPr>
      <w:rFonts w:ascii="Arial" w:hAnsi="Arial"/>
      <w:b w:val="1"/>
      <w:sz w:val="24"/>
    </w:rPr>
  </w:style>
  <w:style w:styleId="Style_5_ch" w:type="character">
    <w:name w:val="Заголовок 5 Знак"/>
    <w:link w:val="Style_5"/>
    <w:rPr>
      <w:rFonts w:ascii="Arial" w:hAnsi="Arial"/>
      <w:b w:val="1"/>
      <w:sz w:val="24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/>
      <w:ind w:left="283"/>
    </w:pPr>
  </w:style>
  <w:style w:styleId="Style_6_ch" w:type="character">
    <w:name w:val="toc 2"/>
    <w:basedOn w:val="Style_3_ch"/>
    <w:link w:val="Style_6"/>
  </w:style>
  <w:style w:styleId="Style_7" w:type="paragraph">
    <w:name w:val="components_paragraph_paragraph_module_paragraph"/>
    <w:basedOn w:val="Style_3"/>
    <w:link w:val="Style_7_ch"/>
    <w:pPr>
      <w:widowControl w:val="1"/>
      <w:spacing w:afterAutospacing="on" w:beforeAutospacing="on"/>
      <w:ind/>
    </w:pPr>
    <w:rPr>
      <w:sz w:val="24"/>
    </w:rPr>
  </w:style>
  <w:style w:styleId="Style_7_ch" w:type="character">
    <w:name w:val="components_paragraph_paragraph_module_paragraph"/>
    <w:basedOn w:val="Style_3_ch"/>
    <w:link w:val="Style_7"/>
    <w:rPr>
      <w:sz w:val="24"/>
    </w:rPr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/>
      <w:ind w:left="85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  <w:sz w:val="22"/>
    </w:rPr>
  </w:style>
  <w:style w:styleId="Style_10" w:type="paragraph">
    <w:name w:val="Основной текст с отступом;Основной текст с отступом Знак1;Основной текст с отступом Знак Знак"/>
    <w:basedOn w:val="Style_11"/>
    <w:link w:val="Style_10_ch"/>
    <w:rPr>
      <w:b w:val="0"/>
    </w:rPr>
  </w:style>
  <w:style w:styleId="Style_10_ch" w:type="character">
    <w:name w:val="Основной текст с отступом;Основной текст с отступом Знак1;Основной текст с отступом Знак Знак"/>
    <w:basedOn w:val="Style_11_ch"/>
    <w:link w:val="Style_10"/>
    <w:rPr>
      <w:b w:val="0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/>
      <w:ind w:left="1417"/>
    </w:pPr>
  </w:style>
  <w:style w:styleId="Style_12_ch" w:type="character">
    <w:name w:val="toc 6"/>
    <w:basedOn w:val="Style_3_ch"/>
    <w:link w:val="Style_12"/>
  </w:style>
  <w:style w:styleId="Style_13" w:type="paragraph">
    <w:name w:val="Heading 3 Char"/>
    <w:basedOn w:val="Style_4"/>
    <w:link w:val="Style_13_ch"/>
    <w:rPr>
      <w:rFonts w:ascii="Arial" w:hAnsi="Arial"/>
      <w:sz w:val="30"/>
    </w:rPr>
  </w:style>
  <w:style w:styleId="Style_13_ch" w:type="character">
    <w:name w:val="Heading 3 Char"/>
    <w:basedOn w:val="Style_4_ch"/>
    <w:link w:val="Style_13"/>
    <w:rPr>
      <w:rFonts w:ascii="Arial" w:hAnsi="Arial"/>
      <w:sz w:val="30"/>
    </w:rPr>
  </w:style>
  <w:style w:styleId="Style_14" w:type="paragraph">
    <w:name w:val="Header Char"/>
    <w:basedOn w:val="Style_4"/>
    <w:link w:val="Style_14_ch"/>
  </w:style>
  <w:style w:styleId="Style_14_ch" w:type="character">
    <w:name w:val="Header Char"/>
    <w:basedOn w:val="Style_4_ch"/>
    <w:link w:val="Style_14"/>
  </w:style>
  <w:style w:styleId="Style_15" w:type="paragraph">
    <w:name w:val="toc 7"/>
    <w:basedOn w:val="Style_3"/>
    <w:next w:val="Style_3"/>
    <w:link w:val="Style_15_ch"/>
    <w:uiPriority w:val="39"/>
    <w:pPr>
      <w:widowControl w:val="1"/>
      <w:spacing w:after="57"/>
      <w:ind w:left="1701"/>
    </w:pPr>
  </w:style>
  <w:style w:styleId="Style_15_ch" w:type="character">
    <w:name w:val="toc 7"/>
    <w:basedOn w:val="Style_3_ch"/>
    <w:link w:val="Style_15"/>
  </w:style>
  <w:style w:styleId="Style_16" w:type="paragraph">
    <w:name w:val="Balloon Text"/>
    <w:basedOn w:val="Style_3"/>
    <w:link w:val="Style_16_ch"/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Body Text"/>
    <w:basedOn w:val="Style_3"/>
    <w:link w:val="Style_17_ch"/>
    <w:pPr>
      <w:widowControl w:val="1"/>
      <w:spacing w:after="120"/>
      <w:ind/>
    </w:pPr>
  </w:style>
  <w:style w:styleId="Style_17_ch" w:type="character">
    <w:name w:val="Body Text"/>
    <w:basedOn w:val="Style_3_ch"/>
    <w:link w:val="Style_17"/>
  </w:style>
  <w:style w:styleId="Style_18" w:type="paragraph">
    <w:name w:val="Гиперссылка1"/>
    <w:link w:val="Style_18_ch"/>
    <w:rPr>
      <w:color w:val="0563C1"/>
      <w:u w:val="single"/>
    </w:rPr>
  </w:style>
  <w:style w:styleId="Style_18_ch" w:type="character">
    <w:name w:val="Гиперссылка1"/>
    <w:link w:val="Style_18"/>
    <w:rPr>
      <w:color w:val="0563C1"/>
      <w:u w:val="single"/>
    </w:rPr>
  </w:style>
  <w:style w:styleId="Style_19" w:type="paragraph">
    <w:name w:val="Указатель1"/>
    <w:basedOn w:val="Style_20"/>
    <w:link w:val="Style_19_ch"/>
    <w:rPr>
      <w:rFonts w:ascii="PT Astra Serif" w:hAnsi="PT Astra Serif"/>
    </w:rPr>
  </w:style>
  <w:style w:styleId="Style_19_ch" w:type="character">
    <w:name w:val="Указатель1"/>
    <w:basedOn w:val="Style_20_ch"/>
    <w:link w:val="Style_19"/>
    <w:rPr>
      <w:rFonts w:ascii="PT Astra Serif" w:hAnsi="PT Astra Serif"/>
    </w:rPr>
  </w:style>
  <w:style w:styleId="Style_21" w:type="paragraph">
    <w:name w:val="Текст сноски Знак"/>
    <w:link w:val="Style_21_ch"/>
    <w:rPr>
      <w:sz w:val="18"/>
    </w:rPr>
  </w:style>
  <w:style w:styleId="Style_21_ch" w:type="character">
    <w:name w:val="Текст сноски Знак"/>
    <w:link w:val="Style_21"/>
    <w:rPr>
      <w:sz w:val="18"/>
    </w:rPr>
  </w:style>
  <w:style w:styleId="Style_22" w:type="paragraph">
    <w:name w:val="Quote Char"/>
    <w:link w:val="Style_22_ch"/>
    <w:rPr>
      <w:i w:val="1"/>
    </w:rPr>
  </w:style>
  <w:style w:styleId="Style_22_ch" w:type="character">
    <w:name w:val="Quote Char"/>
    <w:link w:val="Style_22"/>
    <w:rPr>
      <w:i w:val="1"/>
    </w:rPr>
  </w:style>
  <w:style w:styleId="Style_23" w:type="paragraph">
    <w:name w:val="Heading 1 Char"/>
    <w:basedOn w:val="Style_4"/>
    <w:link w:val="Style_23_ch"/>
    <w:rPr>
      <w:rFonts w:ascii="Arial" w:hAnsi="Arial"/>
      <w:sz w:val="40"/>
    </w:rPr>
  </w:style>
  <w:style w:styleId="Style_23_ch" w:type="character">
    <w:name w:val="Heading 1 Char"/>
    <w:basedOn w:val="Style_4_ch"/>
    <w:link w:val="Style_23"/>
    <w:rPr>
      <w:rFonts w:ascii="Arial" w:hAnsi="Arial"/>
      <w:sz w:val="40"/>
    </w:rPr>
  </w:style>
  <w:style w:styleId="Style_24" w:type="paragraph">
    <w:name w:val="Основной текст с отступом1"/>
    <w:link w:val="Style_24_ch"/>
    <w:pPr>
      <w:widowControl w:val="1"/>
      <w:spacing w:after="120"/>
      <w:ind w:left="283"/>
    </w:pPr>
  </w:style>
  <w:style w:styleId="Style_24_ch" w:type="character">
    <w:name w:val="Основной текст с отступом1"/>
    <w:link w:val="Style_24"/>
  </w:style>
  <w:style w:styleId="Style_25" w:type="paragraph">
    <w:name w:val="Заголовок 8 Знак"/>
    <w:link w:val="Style_25_ch"/>
    <w:rPr>
      <w:rFonts w:ascii="Arial" w:hAnsi="Arial"/>
      <w:i w:val="1"/>
      <w:sz w:val="22"/>
    </w:rPr>
  </w:style>
  <w:style w:styleId="Style_25_ch" w:type="character">
    <w:name w:val="Заголовок 8 Знак"/>
    <w:link w:val="Style_25"/>
    <w:rPr>
      <w:rFonts w:ascii="Arial" w:hAnsi="Arial"/>
      <w:i w:val="1"/>
      <w:sz w:val="22"/>
    </w:rPr>
  </w:style>
  <w:style w:styleId="Style_26" w:type="paragraph">
    <w:name w:val="Endnote"/>
    <w:basedOn w:val="Style_3"/>
    <w:link w:val="Style_26_ch"/>
  </w:style>
  <w:style w:styleId="Style_26_ch" w:type="character">
    <w:name w:val="Endnote"/>
    <w:basedOn w:val="Style_3_ch"/>
    <w:link w:val="Style_26"/>
  </w:style>
  <w:style w:styleId="Style_27" w:type="paragraph">
    <w:name w:val="heading 3"/>
    <w:basedOn w:val="Style_3"/>
    <w:next w:val="Style_3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7_ch" w:type="character">
    <w:name w:val="heading 3"/>
    <w:basedOn w:val="Style_3_ch"/>
    <w:link w:val="Style_27"/>
    <w:rPr>
      <w:rFonts w:ascii="Arial" w:hAnsi="Arial"/>
      <w:sz w:val="30"/>
    </w:rPr>
  </w:style>
  <w:style w:styleId="Style_28" w:type="paragraph">
    <w:name w:val="article-render__block"/>
    <w:basedOn w:val="Style_3"/>
    <w:link w:val="Style_28_ch"/>
    <w:pPr>
      <w:widowControl w:val="1"/>
      <w:spacing w:afterAutospacing="on" w:beforeAutospacing="on"/>
      <w:ind/>
    </w:pPr>
    <w:rPr>
      <w:sz w:val="24"/>
    </w:rPr>
  </w:style>
  <w:style w:styleId="Style_28_ch" w:type="character">
    <w:name w:val="article-render__block"/>
    <w:basedOn w:val="Style_3_ch"/>
    <w:link w:val="Style_28"/>
    <w:rPr>
      <w:sz w:val="24"/>
    </w:rPr>
  </w:style>
  <w:style w:styleId="Style_29" w:type="paragraph">
    <w:name w:val="Заголовок 4 Знак"/>
    <w:link w:val="Style_29_ch"/>
    <w:rPr>
      <w:rFonts w:ascii="Arial" w:hAnsi="Arial"/>
      <w:b w:val="1"/>
      <w:sz w:val="26"/>
    </w:rPr>
  </w:style>
  <w:style w:styleId="Style_29_ch" w:type="character">
    <w:name w:val="Заголовок 4 Знак"/>
    <w:link w:val="Style_29"/>
    <w:rPr>
      <w:rFonts w:ascii="Arial" w:hAnsi="Arial"/>
      <w:b w:val="1"/>
      <w:sz w:val="26"/>
    </w:rPr>
  </w:style>
  <w:style w:styleId="Style_30" w:type="paragraph">
    <w:name w:val="Символ концевой сноски"/>
    <w:link w:val="Style_30_ch"/>
    <w:rPr>
      <w:vertAlign w:val="superscript"/>
    </w:rPr>
  </w:style>
  <w:style w:styleId="Style_30_ch" w:type="character">
    <w:name w:val="Символ концевой сноски"/>
    <w:link w:val="Style_30"/>
    <w:rPr>
      <w:vertAlign w:val="superscript"/>
    </w:rPr>
  </w:style>
  <w:style w:styleId="Style_31" w:type="paragraph">
    <w:name w:val="No Spacing"/>
    <w:link w:val="Style_31_ch"/>
    <w:rPr>
      <w:rFonts w:ascii="Calibri" w:hAnsi="Calibri"/>
      <w:sz w:val="22"/>
    </w:rPr>
  </w:style>
  <w:style w:styleId="Style_31_ch" w:type="character">
    <w:name w:val="No Spacing"/>
    <w:link w:val="Style_31"/>
    <w:rPr>
      <w:rFonts w:ascii="Calibri" w:hAnsi="Calibri"/>
      <w:sz w:val="22"/>
    </w:rPr>
  </w:style>
  <w:style w:styleId="Style_32" w:type="paragraph">
    <w:name w:val="Заголовок 2 Знак"/>
    <w:link w:val="Style_32_ch"/>
    <w:rPr>
      <w:rFonts w:ascii="Calibri Light" w:hAnsi="Calibri Light"/>
      <w:b w:val="1"/>
      <w:i w:val="1"/>
      <w:sz w:val="28"/>
    </w:rPr>
  </w:style>
  <w:style w:styleId="Style_32_ch" w:type="character">
    <w:name w:val="Заголовок 2 Знак"/>
    <w:link w:val="Style_32"/>
    <w:rPr>
      <w:rFonts w:ascii="Calibri Light" w:hAnsi="Calibri Light"/>
      <w:b w:val="1"/>
      <w:i w:val="1"/>
      <w:sz w:val="28"/>
    </w:rPr>
  </w:style>
  <w:style w:styleId="Style_33" w:type="paragraph">
    <w:name w:val="Title Char"/>
    <w:basedOn w:val="Style_4"/>
    <w:link w:val="Style_33_ch"/>
    <w:rPr>
      <w:sz w:val="48"/>
    </w:rPr>
  </w:style>
  <w:style w:styleId="Style_33_ch" w:type="character">
    <w:name w:val="Title Char"/>
    <w:basedOn w:val="Style_4_ch"/>
    <w:link w:val="Style_33"/>
    <w:rPr>
      <w:sz w:val="48"/>
    </w:rPr>
  </w:style>
  <w:style w:styleId="Style_34" w:type="paragraph">
    <w:name w:val="Heading 4 Char"/>
    <w:basedOn w:val="Style_4"/>
    <w:link w:val="Style_34_ch"/>
    <w:rPr>
      <w:rFonts w:ascii="Arial" w:hAnsi="Arial"/>
      <w:b w:val="1"/>
      <w:sz w:val="26"/>
    </w:rPr>
  </w:style>
  <w:style w:styleId="Style_34_ch" w:type="character">
    <w:name w:val="Heading 4 Char"/>
    <w:basedOn w:val="Style_4_ch"/>
    <w:link w:val="Style_34"/>
    <w:rPr>
      <w:rFonts w:ascii="Arial" w:hAnsi="Arial"/>
      <w:b w:val="1"/>
      <w:sz w:val="26"/>
    </w:rPr>
  </w:style>
  <w:style w:styleId="Style_35" w:type="paragraph">
    <w:name w:val="Intense Quote"/>
    <w:basedOn w:val="Style_3"/>
    <w:next w:val="Style_3"/>
    <w:link w:val="Style_3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5_ch" w:type="character">
    <w:name w:val="Intense Quote"/>
    <w:basedOn w:val="Style_3_ch"/>
    <w:link w:val="Style_35"/>
    <w:rPr>
      <w:i w:val="1"/>
    </w:rPr>
  </w:style>
  <w:style w:styleId="Style_36" w:type="paragraph">
    <w:name w:val="Заголовок1"/>
    <w:basedOn w:val="Style_20"/>
    <w:link w:val="Style_36_ch"/>
    <w:rPr>
      <w:rFonts w:ascii="PT Astra Serif" w:hAnsi="PT Astra Serif"/>
      <w:sz w:val="28"/>
    </w:rPr>
  </w:style>
  <w:style w:styleId="Style_36_ch" w:type="character">
    <w:name w:val="Заголовок1"/>
    <w:basedOn w:val="Style_20_ch"/>
    <w:link w:val="Style_36"/>
    <w:rPr>
      <w:rFonts w:ascii="PT Astra Serif" w:hAnsi="PT Astra Serif"/>
      <w:sz w:val="28"/>
    </w:rPr>
  </w:style>
  <w:style w:styleId="Style_37" w:type="paragraph">
    <w:name w:val="heading 9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7_ch" w:type="character">
    <w:name w:val="heading 9"/>
    <w:basedOn w:val="Style_3_ch"/>
    <w:link w:val="Style_37"/>
    <w:rPr>
      <w:rFonts w:ascii="Arial" w:hAnsi="Arial"/>
      <w:i w:val="1"/>
      <w:sz w:val="21"/>
    </w:rPr>
  </w:style>
  <w:style w:styleId="Style_38" w:type="paragraph">
    <w:name w:val="Текст концевой сноски Знак"/>
    <w:link w:val="Style_38_ch"/>
  </w:style>
  <w:style w:styleId="Style_38_ch" w:type="character">
    <w:name w:val="Текст концевой сноски Знак"/>
    <w:link w:val="Style_38"/>
  </w:style>
  <w:style w:styleId="Style_39" w:type="paragraph">
    <w:name w:val="Знак"/>
    <w:basedOn w:val="Style_3"/>
    <w:link w:val="Style_39_ch"/>
    <w:pPr>
      <w:widowControl w:val="1"/>
      <w:spacing w:after="160" w:line="240" w:lineRule="exact"/>
      <w:ind/>
    </w:pPr>
    <w:rPr>
      <w:rFonts w:ascii="Verdana" w:hAnsi="Verdana"/>
    </w:rPr>
  </w:style>
  <w:style w:styleId="Style_39_ch" w:type="character">
    <w:name w:val="Знак"/>
    <w:basedOn w:val="Style_3_ch"/>
    <w:link w:val="Style_39"/>
    <w:rPr>
      <w:rFonts w:ascii="Verdana" w:hAnsi="Verdana"/>
    </w:rPr>
  </w:style>
  <w:style w:styleId="Style_40" w:type="paragraph">
    <w:name w:val="Body Text Indent 2"/>
    <w:basedOn w:val="Style_3"/>
    <w:link w:val="Style_40_ch"/>
    <w:pPr>
      <w:widowControl w:val="1"/>
      <w:spacing w:after="120" w:line="480" w:lineRule="auto"/>
      <w:ind w:left="283"/>
    </w:pPr>
  </w:style>
  <w:style w:styleId="Style_40_ch" w:type="character">
    <w:name w:val="Body Text Indent 2"/>
    <w:basedOn w:val="Style_3_ch"/>
    <w:link w:val="Style_40"/>
  </w:style>
  <w:style w:styleId="Style_41" w:type="paragraph">
    <w:name w:val="extended-text__short"/>
    <w:link w:val="Style_41_ch"/>
  </w:style>
  <w:style w:styleId="Style_41_ch" w:type="character">
    <w:name w:val="extended-text__short"/>
    <w:link w:val="Style_41"/>
  </w:style>
  <w:style w:styleId="Style_42" w:type="paragraph">
    <w:name w:val="Quote"/>
    <w:basedOn w:val="Style_3"/>
    <w:next w:val="Style_3"/>
    <w:link w:val="Style_42_ch"/>
    <w:pPr>
      <w:widowControl w:val="1"/>
      <w:ind w:left="720" w:right="720"/>
    </w:pPr>
    <w:rPr>
      <w:i w:val="1"/>
    </w:rPr>
  </w:style>
  <w:style w:styleId="Style_42_ch" w:type="character">
    <w:name w:val="Quote"/>
    <w:basedOn w:val="Style_3_ch"/>
    <w:link w:val="Style_42"/>
    <w:rPr>
      <w:i w:val="1"/>
    </w:rPr>
  </w:style>
  <w:style w:styleId="Style_43" w:type="paragraph">
    <w:name w:val="Footer Char"/>
    <w:link w:val="Style_43_ch"/>
  </w:style>
  <w:style w:styleId="Style_43_ch" w:type="character">
    <w:name w:val="Footer Char"/>
    <w:link w:val="Style_43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44" w:type="paragraph">
    <w:name w:val="Подзаголовок Знак"/>
    <w:link w:val="Style_44_ch"/>
    <w:rPr>
      <w:sz w:val="24"/>
    </w:rPr>
  </w:style>
  <w:style w:styleId="Style_44_ch" w:type="character">
    <w:name w:val="Подзаголовок Знак"/>
    <w:link w:val="Style_44"/>
    <w:rPr>
      <w:sz w:val="24"/>
    </w:rPr>
  </w:style>
  <w:style w:styleId="Style_45" w:type="paragraph">
    <w:name w:val="Heading 6 Char"/>
    <w:basedOn w:val="Style_4"/>
    <w:link w:val="Style_45_ch"/>
    <w:rPr>
      <w:rFonts w:ascii="Arial" w:hAnsi="Arial"/>
      <w:b w:val="1"/>
      <w:sz w:val="22"/>
    </w:rPr>
  </w:style>
  <w:style w:styleId="Style_45_ch" w:type="character">
    <w:name w:val="Heading 6 Char"/>
    <w:basedOn w:val="Style_4_ch"/>
    <w:link w:val="Style_45"/>
    <w:rPr>
      <w:rFonts w:ascii="Arial" w:hAnsi="Arial"/>
      <w:b w:val="1"/>
      <w:sz w:val="22"/>
    </w:rPr>
  </w:style>
  <w:style w:styleId="Style_46" w:type="paragraph">
    <w:name w:val="List"/>
    <w:basedOn w:val="Style_17"/>
    <w:link w:val="Style_46_ch"/>
    <w:rPr>
      <w:rFonts w:ascii="PT Astra Serif" w:hAnsi="PT Astra Serif"/>
    </w:rPr>
  </w:style>
  <w:style w:styleId="Style_46_ch" w:type="character">
    <w:name w:val="List"/>
    <w:basedOn w:val="Style_17_ch"/>
    <w:link w:val="Style_46"/>
    <w:rPr>
      <w:rFonts w:ascii="PT Astra Serif" w:hAnsi="PT Astra Serif"/>
    </w:rPr>
  </w:style>
  <w:style w:styleId="Style_47" w:type="paragraph">
    <w:name w:val="Заголовок 9 Знак"/>
    <w:link w:val="Style_47_ch"/>
    <w:rPr>
      <w:rFonts w:ascii="Arial" w:hAnsi="Arial"/>
      <w:i w:val="1"/>
      <w:sz w:val="21"/>
    </w:rPr>
  </w:style>
  <w:style w:styleId="Style_47_ch" w:type="character">
    <w:name w:val="Заголовок 9 Знак"/>
    <w:link w:val="Style_47"/>
    <w:rPr>
      <w:rFonts w:ascii="Arial" w:hAnsi="Arial"/>
      <w:i w:val="1"/>
      <w:sz w:val="21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48" w:type="paragraph">
    <w:name w:val="Содержимое врезки"/>
    <w:basedOn w:val="Style_3"/>
    <w:link w:val="Style_48_ch"/>
  </w:style>
  <w:style w:styleId="Style_48_ch" w:type="character">
    <w:name w:val="Содержимое врезки"/>
    <w:basedOn w:val="Style_3_ch"/>
    <w:link w:val="Style_48"/>
  </w:style>
  <w:style w:styleId="Style_49" w:type="paragraph">
    <w:name w:val="toc 3"/>
    <w:basedOn w:val="Style_3"/>
    <w:next w:val="Style_3"/>
    <w:link w:val="Style_49_ch"/>
    <w:uiPriority w:val="39"/>
    <w:pPr>
      <w:widowControl w:val="1"/>
      <w:spacing w:after="57"/>
      <w:ind w:left="567"/>
    </w:pPr>
  </w:style>
  <w:style w:styleId="Style_49_ch" w:type="character">
    <w:name w:val="toc 3"/>
    <w:basedOn w:val="Style_3_ch"/>
    <w:link w:val="Style_49"/>
  </w:style>
  <w:style w:styleId="Style_50" w:type="paragraph">
    <w:name w:val="Нижний колонтитул Знак"/>
    <w:link w:val="Style_50_ch"/>
  </w:style>
  <w:style w:styleId="Style_50_ch" w:type="character">
    <w:name w:val="Нижний колонтитул Знак"/>
    <w:link w:val="Style_50"/>
  </w:style>
  <w:style w:styleId="Style_51" w:type="paragraph">
    <w:name w:val="Heading 2 Char"/>
    <w:link w:val="Style_51_ch"/>
    <w:rPr>
      <w:rFonts w:ascii="Arial" w:hAnsi="Arial"/>
      <w:sz w:val="34"/>
    </w:rPr>
  </w:style>
  <w:style w:styleId="Style_51_ch" w:type="character">
    <w:name w:val="Heading 2 Char"/>
    <w:link w:val="Style_51"/>
    <w:rPr>
      <w:rFonts w:ascii="Arial" w:hAnsi="Arial"/>
      <w:sz w:val="34"/>
    </w:rPr>
  </w:style>
  <w:style w:styleId="Style_52" w:type="paragraph">
    <w:name w:val="Гиперссылка1"/>
    <w:link w:val="Style_52_ch"/>
    <w:rPr>
      <w:color w:val="0000FF"/>
      <w:u w:val="single"/>
    </w:rPr>
  </w:style>
  <w:style w:styleId="Style_52_ch" w:type="character">
    <w:name w:val="Гиперссылка1"/>
    <w:link w:val="Style_52"/>
    <w:rPr>
      <w:color w:val="0000FF"/>
      <w:u w:val="single"/>
    </w:rPr>
  </w:style>
  <w:style w:styleId="Style_53" w:type="paragraph">
    <w:name w:val="Heading 8 Char"/>
    <w:basedOn w:val="Style_4"/>
    <w:link w:val="Style_53_ch"/>
    <w:rPr>
      <w:rFonts w:ascii="Arial" w:hAnsi="Arial"/>
      <w:i w:val="1"/>
      <w:sz w:val="22"/>
    </w:rPr>
  </w:style>
  <w:style w:styleId="Style_53_ch" w:type="character">
    <w:name w:val="Heading 8 Char"/>
    <w:basedOn w:val="Style_4_ch"/>
    <w:link w:val="Style_53"/>
    <w:rPr>
      <w:rFonts w:ascii="Arial" w:hAnsi="Arial"/>
      <w:i w:val="1"/>
      <w:sz w:val="22"/>
    </w:rPr>
  </w:style>
  <w:style w:styleId="Style_54" w:type="paragraph">
    <w:name w:val="heading 5"/>
    <w:basedOn w:val="Style_3"/>
    <w:next w:val="Style_3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54_ch" w:type="character">
    <w:name w:val="heading 5"/>
    <w:basedOn w:val="Style_3_ch"/>
    <w:link w:val="Style_54"/>
    <w:rPr>
      <w:rFonts w:ascii="Arial" w:hAnsi="Arial"/>
      <w:b w:val="1"/>
      <w:sz w:val="24"/>
    </w:rPr>
  </w:style>
  <w:style w:styleId="Style_55" w:type="paragraph">
    <w:name w:val="Heading 5 Char"/>
    <w:basedOn w:val="Style_4"/>
    <w:link w:val="Style_55_ch"/>
    <w:rPr>
      <w:rFonts w:ascii="Arial" w:hAnsi="Arial"/>
      <w:b w:val="1"/>
      <w:sz w:val="24"/>
    </w:rPr>
  </w:style>
  <w:style w:styleId="Style_55_ch" w:type="character">
    <w:name w:val="Heading 5 Char"/>
    <w:basedOn w:val="Style_4_ch"/>
    <w:link w:val="Style_55"/>
    <w:rPr>
      <w:rFonts w:ascii="Arial" w:hAnsi="Arial"/>
      <w:b w:val="1"/>
      <w:sz w:val="24"/>
    </w:rPr>
  </w:style>
  <w:style w:styleId="Style_56" w:type="paragraph">
    <w:name w:val="heading 1"/>
    <w:basedOn w:val="Style_3"/>
    <w:next w:val="Style_3"/>
    <w:link w:val="Style_56_ch"/>
    <w:uiPriority w:val="9"/>
    <w:qFormat/>
    <w:pPr>
      <w:keepNext w:val="1"/>
      <w:widowControl w:val="1"/>
      <w:ind/>
      <w:outlineLvl w:val="0"/>
    </w:pPr>
    <w:rPr>
      <w:sz w:val="28"/>
    </w:rPr>
  </w:style>
  <w:style w:styleId="Style_56_ch" w:type="character">
    <w:name w:val="heading 1"/>
    <w:basedOn w:val="Style_3_ch"/>
    <w:link w:val="Style_56"/>
    <w:rPr>
      <w:sz w:val="28"/>
    </w:rPr>
  </w:style>
  <w:style w:styleId="Style_57" w:type="paragraph">
    <w:name w:val="Caption Char"/>
    <w:link w:val="Style_57_ch"/>
  </w:style>
  <w:style w:styleId="Style_57_ch" w:type="character">
    <w:name w:val="Caption Char"/>
    <w:link w:val="Style_57"/>
  </w:style>
  <w:style w:styleId="Style_58" w:type="paragraph">
    <w:name w:val="Hyperlink"/>
    <w:link w:val="Style_58_ch"/>
    <w:rPr>
      <w:color w:val="0000FF"/>
      <w:u w:val="single"/>
    </w:rPr>
  </w:style>
  <w:style w:styleId="Style_58_ch" w:type="character">
    <w:name w:val="Hyperlink"/>
    <w:link w:val="Style_58"/>
    <w:rPr>
      <w:color w:val="0000FF"/>
      <w:u w:val="single"/>
    </w:rPr>
  </w:style>
  <w:style w:styleId="Style_59" w:type="paragraph">
    <w:name w:val="Footnote"/>
    <w:basedOn w:val="Style_3"/>
    <w:link w:val="Style_59_ch"/>
    <w:pPr>
      <w:widowControl w:val="1"/>
      <w:spacing w:after="40"/>
      <w:ind/>
    </w:pPr>
    <w:rPr>
      <w:sz w:val="18"/>
    </w:rPr>
  </w:style>
  <w:style w:styleId="Style_59_ch" w:type="character">
    <w:name w:val="Footnote"/>
    <w:basedOn w:val="Style_3_ch"/>
    <w:link w:val="Style_59"/>
    <w:rPr>
      <w:sz w:val="18"/>
    </w:rPr>
  </w:style>
  <w:style w:styleId="Style_60" w:type="paragraph">
    <w:name w:val="heading 8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60_ch" w:type="character">
    <w:name w:val="heading 8"/>
    <w:basedOn w:val="Style_3_ch"/>
    <w:link w:val="Style_60"/>
    <w:rPr>
      <w:rFonts w:ascii="Arial" w:hAnsi="Arial"/>
      <w:i w:val="1"/>
      <w:sz w:val="22"/>
    </w:rPr>
  </w:style>
  <w:style w:styleId="Style_61" w:type="paragraph">
    <w:name w:val="toc 1"/>
    <w:basedOn w:val="Style_3"/>
    <w:next w:val="Style_3"/>
    <w:link w:val="Style_61_ch"/>
    <w:uiPriority w:val="39"/>
    <w:pPr>
      <w:widowControl w:val="1"/>
      <w:spacing w:after="57"/>
      <w:ind/>
    </w:pPr>
  </w:style>
  <w:style w:styleId="Style_61_ch" w:type="character">
    <w:name w:val="toc 1"/>
    <w:basedOn w:val="Style_3_ch"/>
    <w:link w:val="Style_61"/>
  </w:style>
  <w:style w:styleId="Style_62" w:type="paragraph">
    <w:name w:val="Основной шрифт абзаца1"/>
    <w:link w:val="Style_62_ch"/>
  </w:style>
  <w:style w:styleId="Style_62_ch" w:type="character">
    <w:name w:val="Основной шрифт абзаца1"/>
    <w:link w:val="Style_62"/>
  </w:style>
  <w:style w:styleId="Style_63" w:type="paragraph">
    <w:name w:val="Header and Footer"/>
    <w:basedOn w:val="Style_3"/>
    <w:link w:val="Style_63_ch"/>
  </w:style>
  <w:style w:styleId="Style_63_ch" w:type="character">
    <w:name w:val="Header and Footer"/>
    <w:basedOn w:val="Style_3_ch"/>
    <w:link w:val="Style_63"/>
  </w:style>
  <w:style w:styleId="Style_64" w:type="paragraph">
    <w:name w:val="Intense Quote Char"/>
    <w:link w:val="Style_64_ch"/>
    <w:rPr>
      <w:i w:val="1"/>
    </w:rPr>
  </w:style>
  <w:style w:styleId="Style_64_ch" w:type="character">
    <w:name w:val="Intense Quote Char"/>
    <w:link w:val="Style_64"/>
    <w:rPr>
      <w:i w:val="1"/>
    </w:rPr>
  </w:style>
  <w:style w:styleId="Style_65" w:type="paragraph">
    <w:name w:val="footer"/>
    <w:basedOn w:val="Style_3"/>
    <w:link w:val="Style_65_ch"/>
    <w:pPr>
      <w:widowControl w:val="1"/>
      <w:tabs>
        <w:tab w:leader="none" w:pos="4677" w:val="center"/>
        <w:tab w:leader="none" w:pos="9355" w:val="right"/>
      </w:tabs>
      <w:ind/>
    </w:pPr>
  </w:style>
  <w:style w:styleId="Style_65_ch" w:type="character">
    <w:name w:val="footer"/>
    <w:basedOn w:val="Style_3_ch"/>
    <w:link w:val="Style_65"/>
  </w:style>
  <w:style w:styleId="Style_66" w:type="paragraph">
    <w:name w:val="Heading 9 Char"/>
    <w:basedOn w:val="Style_4"/>
    <w:link w:val="Style_66_ch"/>
    <w:rPr>
      <w:rFonts w:ascii="Arial" w:hAnsi="Arial"/>
      <w:i w:val="1"/>
      <w:sz w:val="21"/>
    </w:rPr>
  </w:style>
  <w:style w:styleId="Style_66_ch" w:type="character">
    <w:name w:val="Heading 9 Char"/>
    <w:basedOn w:val="Style_4_ch"/>
    <w:link w:val="Style_66"/>
    <w:rPr>
      <w:rFonts w:ascii="Arial" w:hAnsi="Arial"/>
      <w:i w:val="1"/>
      <w:sz w:val="21"/>
    </w:rPr>
  </w:style>
  <w:style w:styleId="Style_67" w:type="paragraph">
    <w:name w:val="Заголовок 3 Знак"/>
    <w:link w:val="Style_67_ch"/>
    <w:rPr>
      <w:rFonts w:ascii="Arial" w:hAnsi="Arial"/>
      <w:sz w:val="30"/>
    </w:rPr>
  </w:style>
  <w:style w:styleId="Style_67_ch" w:type="character">
    <w:name w:val="Заголовок 3 Знак"/>
    <w:link w:val="Style_67"/>
    <w:rPr>
      <w:rFonts w:ascii="Arial" w:hAnsi="Arial"/>
      <w:sz w:val="30"/>
    </w:rPr>
  </w:style>
  <w:style w:styleId="Style_68" w:type="paragraph">
    <w:name w:val="Знак концевой сноски1"/>
    <w:link w:val="Style_68_ch"/>
    <w:rPr>
      <w:vertAlign w:val="superscript"/>
    </w:rPr>
  </w:style>
  <w:style w:styleId="Style_68_ch" w:type="character">
    <w:name w:val="Знак концевой сноски1"/>
    <w:link w:val="Style_68"/>
    <w:rPr>
      <w:vertAlign w:val="superscript"/>
    </w:rPr>
  </w:style>
  <w:style w:styleId="Style_11" w:type="paragraph">
    <w:name w:val="Body Text Indent 3"/>
    <w:basedOn w:val="Style_3"/>
    <w:link w:val="Style_11_ch"/>
    <w:pPr>
      <w:widowControl w:val="1"/>
      <w:ind w:firstLine="720"/>
      <w:jc w:val="both"/>
    </w:pPr>
    <w:rPr>
      <w:b w:val="1"/>
      <w:sz w:val="28"/>
    </w:rPr>
  </w:style>
  <w:style w:styleId="Style_11_ch" w:type="character">
    <w:name w:val="Body Text Indent 3"/>
    <w:basedOn w:val="Style_3_ch"/>
    <w:link w:val="Style_11"/>
    <w:rPr>
      <w:b w:val="1"/>
      <w:sz w:val="28"/>
    </w:rPr>
  </w:style>
  <w:style w:styleId="Style_69" w:type="paragraph">
    <w:name w:val="toc 9"/>
    <w:basedOn w:val="Style_3"/>
    <w:next w:val="Style_3"/>
    <w:link w:val="Style_69_ch"/>
    <w:uiPriority w:val="39"/>
    <w:pPr>
      <w:widowControl w:val="1"/>
      <w:spacing w:after="57"/>
      <w:ind w:left="2268"/>
    </w:pPr>
  </w:style>
  <w:style w:styleId="Style_69_ch" w:type="character">
    <w:name w:val="toc 9"/>
    <w:basedOn w:val="Style_3_ch"/>
    <w:link w:val="Style_69"/>
  </w:style>
  <w:style w:styleId="Style_70" w:type="paragraph">
    <w:name w:val="Знак сноски1"/>
    <w:link w:val="Style_70_ch"/>
    <w:rPr>
      <w:vertAlign w:val="superscript"/>
    </w:rPr>
  </w:style>
  <w:style w:styleId="Style_70_ch" w:type="character">
    <w:name w:val="Знак сноски1"/>
    <w:link w:val="Style_70"/>
    <w:rPr>
      <w:vertAlign w:val="superscript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71" w:type="paragraph">
    <w:name w:val="caption"/>
    <w:basedOn w:val="Style_3"/>
    <w:next w:val="Style_3"/>
    <w:link w:val="Style_7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71_ch" w:type="character">
    <w:name w:val="caption"/>
    <w:basedOn w:val="Style_3_ch"/>
    <w:link w:val="Style_71"/>
    <w:rPr>
      <w:b w:val="1"/>
      <w:color w:themeColor="accent1" w:val="4F81BD"/>
      <w:sz w:val="18"/>
    </w:rPr>
  </w:style>
  <w:style w:styleId="Style_72" w:type="paragraph">
    <w:name w:val="Heading 7 Char"/>
    <w:basedOn w:val="Style_4"/>
    <w:link w:val="Style_72_ch"/>
    <w:rPr>
      <w:rFonts w:ascii="Arial" w:hAnsi="Arial"/>
      <w:b w:val="1"/>
      <w:i w:val="1"/>
      <w:sz w:val="22"/>
    </w:rPr>
  </w:style>
  <w:style w:styleId="Style_72_ch" w:type="character">
    <w:name w:val="Heading 7 Char"/>
    <w:basedOn w:val="Style_4_ch"/>
    <w:link w:val="Style_72"/>
    <w:rPr>
      <w:rFonts w:ascii="Arial" w:hAnsi="Arial"/>
      <w:b w:val="1"/>
      <w:i w:val="1"/>
      <w:sz w:val="22"/>
    </w:rPr>
  </w:style>
  <w:style w:styleId="Style_73" w:type="paragraph">
    <w:name w:val="Верхний колонтитул Знак"/>
    <w:link w:val="Style_73_ch"/>
  </w:style>
  <w:style w:styleId="Style_73_ch" w:type="character">
    <w:name w:val="Верхний колонтитул Знак"/>
    <w:link w:val="Style_73"/>
  </w:style>
  <w:style w:styleId="Style_74" w:type="paragraph">
    <w:name w:val="Footnote Text Char"/>
    <w:link w:val="Style_74_ch"/>
    <w:rPr>
      <w:sz w:val="18"/>
    </w:rPr>
  </w:style>
  <w:style w:styleId="Style_74_ch" w:type="character">
    <w:name w:val="Footnote Text Char"/>
    <w:link w:val="Style_74"/>
    <w:rPr>
      <w:sz w:val="18"/>
    </w:rPr>
  </w:style>
  <w:style w:styleId="Style_75" w:type="paragraph">
    <w:name w:val="table of figures"/>
    <w:basedOn w:val="Style_3"/>
    <w:next w:val="Style_3"/>
    <w:link w:val="Style_75_ch"/>
  </w:style>
  <w:style w:styleId="Style_75_ch" w:type="character">
    <w:name w:val="table of figures"/>
    <w:basedOn w:val="Style_3_ch"/>
    <w:link w:val="Style_75"/>
  </w:style>
  <w:style w:styleId="Style_76" w:type="paragraph">
    <w:name w:val="index heading"/>
    <w:basedOn w:val="Style_77"/>
    <w:link w:val="Style_76_ch"/>
  </w:style>
  <w:style w:styleId="Style_76_ch" w:type="character">
    <w:name w:val="index heading"/>
    <w:basedOn w:val="Style_77_ch"/>
    <w:link w:val="Style_76"/>
  </w:style>
  <w:style w:styleId="Style_78" w:type="paragraph">
    <w:name w:val="Заголовок Знак"/>
    <w:link w:val="Style_78_ch"/>
    <w:rPr>
      <w:sz w:val="48"/>
    </w:rPr>
  </w:style>
  <w:style w:styleId="Style_78_ch" w:type="character">
    <w:name w:val="Заголовок Знак"/>
    <w:link w:val="Style_78"/>
    <w:rPr>
      <w:sz w:val="48"/>
    </w:rPr>
  </w:style>
  <w:style w:styleId="Style_79" w:type="paragraph">
    <w:name w:val="toc 8"/>
    <w:basedOn w:val="Style_3"/>
    <w:next w:val="Style_3"/>
    <w:link w:val="Style_79_ch"/>
    <w:uiPriority w:val="39"/>
    <w:pPr>
      <w:widowControl w:val="1"/>
      <w:spacing w:after="57"/>
      <w:ind w:left="1984"/>
    </w:pPr>
  </w:style>
  <w:style w:styleId="Style_79_ch" w:type="character">
    <w:name w:val="toc 8"/>
    <w:basedOn w:val="Style_3_ch"/>
    <w:link w:val="Style_79"/>
  </w:style>
  <w:style w:styleId="Style_80" w:type="paragraph">
    <w:name w:val="Обычный1"/>
    <w:link w:val="Style_80_ch"/>
  </w:style>
  <w:style w:styleId="Style_80_ch" w:type="character">
    <w:name w:val="Обычный1"/>
    <w:link w:val="Style_80"/>
  </w:style>
  <w:style w:styleId="Style_81" w:type="paragraph">
    <w:name w:val="Заголовок 7 Знак"/>
    <w:link w:val="Style_81_ch"/>
    <w:rPr>
      <w:rFonts w:ascii="Arial" w:hAnsi="Arial"/>
      <w:b w:val="1"/>
      <w:i w:val="1"/>
      <w:sz w:val="22"/>
    </w:rPr>
  </w:style>
  <w:style w:styleId="Style_81_ch" w:type="character">
    <w:name w:val="Заголовок 7 Знак"/>
    <w:link w:val="Style_81"/>
    <w:rPr>
      <w:rFonts w:ascii="Arial" w:hAnsi="Arial"/>
      <w:b w:val="1"/>
      <w:i w:val="1"/>
      <w:sz w:val="22"/>
    </w:rPr>
  </w:style>
  <w:style w:styleId="Style_82" w:type="paragraph">
    <w:name w:val="Заголовок 6 Знак"/>
    <w:link w:val="Style_82_ch"/>
    <w:rPr>
      <w:rFonts w:ascii="Arial" w:hAnsi="Arial"/>
      <w:b w:val="1"/>
      <w:sz w:val="22"/>
    </w:rPr>
  </w:style>
  <w:style w:styleId="Style_82_ch" w:type="character">
    <w:name w:val="Заголовок 6 Знак"/>
    <w:link w:val="Style_82"/>
    <w:rPr>
      <w:rFonts w:ascii="Arial" w:hAnsi="Arial"/>
      <w:b w:val="1"/>
      <w:sz w:val="22"/>
    </w:rPr>
  </w:style>
  <w:style w:styleId="Style_83" w:type="paragraph">
    <w:name w:val="TOC Heading"/>
    <w:link w:val="Style_83_ch"/>
  </w:style>
  <w:style w:styleId="Style_83_ch" w:type="character">
    <w:name w:val="TOC Heading"/>
    <w:link w:val="Style_83"/>
  </w:style>
  <w:style w:styleId="Style_84" w:type="paragraph">
    <w:name w:val="toc 5"/>
    <w:basedOn w:val="Style_3"/>
    <w:next w:val="Style_3"/>
    <w:link w:val="Style_84_ch"/>
    <w:uiPriority w:val="39"/>
    <w:pPr>
      <w:widowControl w:val="1"/>
      <w:spacing w:after="57"/>
      <w:ind w:left="1134"/>
    </w:pPr>
  </w:style>
  <w:style w:styleId="Style_84_ch" w:type="character">
    <w:name w:val="toc 5"/>
    <w:basedOn w:val="Style_3_ch"/>
    <w:link w:val="Style_84"/>
  </w:style>
  <w:style w:styleId="Style_85" w:type="paragraph">
    <w:name w:val="Endnote Text Char"/>
    <w:link w:val="Style_85_ch"/>
  </w:style>
  <w:style w:styleId="Style_85_ch" w:type="character">
    <w:name w:val="Endnote Text Char"/>
    <w:link w:val="Style_85"/>
  </w:style>
  <w:style w:styleId="Style_86" w:type="paragraph">
    <w:name w:val="Заголовок 1 Знак"/>
    <w:link w:val="Style_86_ch"/>
    <w:rPr>
      <w:rFonts w:ascii="Arial" w:hAnsi="Arial"/>
      <w:sz w:val="40"/>
    </w:rPr>
  </w:style>
  <w:style w:styleId="Style_86_ch" w:type="character">
    <w:name w:val="Заголовок 1 Знак"/>
    <w:link w:val="Style_86"/>
    <w:rPr>
      <w:rFonts w:ascii="Arial" w:hAnsi="Arial"/>
      <w:sz w:val="40"/>
    </w:rPr>
  </w:style>
  <w:style w:styleId="Style_87" w:type="paragraph">
    <w:name w:val="Subtitle Char"/>
    <w:basedOn w:val="Style_4"/>
    <w:link w:val="Style_87_ch"/>
    <w:rPr>
      <w:sz w:val="24"/>
    </w:rPr>
  </w:style>
  <w:style w:styleId="Style_87_ch" w:type="character">
    <w:name w:val="Subtitle Char"/>
    <w:basedOn w:val="Style_4_ch"/>
    <w:link w:val="Style_87"/>
    <w:rPr>
      <w:sz w:val="24"/>
    </w:rPr>
  </w:style>
  <w:style w:styleId="Style_88" w:type="paragraph">
    <w:name w:val="apple-converted-space"/>
    <w:link w:val="Style_88_ch"/>
  </w:style>
  <w:style w:styleId="Style_88_ch" w:type="character">
    <w:name w:val="apple-converted-space"/>
    <w:link w:val="Style_88"/>
  </w:style>
  <w:style w:styleId="Style_89" w:type="paragraph">
    <w:name w:val="Символ сноски"/>
    <w:link w:val="Style_89_ch"/>
    <w:rPr>
      <w:vertAlign w:val="superscript"/>
    </w:rPr>
  </w:style>
  <w:style w:styleId="Style_89_ch" w:type="character">
    <w:name w:val="Символ сноски"/>
    <w:link w:val="Style_89"/>
    <w:rPr>
      <w:vertAlign w:val="superscript"/>
    </w:rPr>
  </w:style>
  <w:style w:styleId="Style_90" w:type="paragraph">
    <w:name w:val="Subtitle"/>
    <w:basedOn w:val="Style_3"/>
    <w:next w:val="Style_3"/>
    <w:link w:val="Style_90_ch"/>
    <w:uiPriority w:val="11"/>
    <w:qFormat/>
    <w:pPr>
      <w:widowControl w:val="1"/>
      <w:spacing w:after="200" w:before="200"/>
      <w:ind/>
    </w:pPr>
    <w:rPr>
      <w:sz w:val="24"/>
    </w:rPr>
  </w:style>
  <w:style w:styleId="Style_90_ch" w:type="character">
    <w:name w:val="Subtitle"/>
    <w:basedOn w:val="Style_3_ch"/>
    <w:link w:val="Style_90"/>
    <w:rPr>
      <w:sz w:val="24"/>
    </w:rPr>
  </w:style>
  <w:style w:styleId="Style_91" w:type="paragraph">
    <w:name w:val="Default Paragraph Font"/>
    <w:link w:val="Style_91_ch"/>
  </w:style>
  <w:style w:styleId="Style_91_ch" w:type="character">
    <w:name w:val="Default Paragraph Font"/>
    <w:link w:val="Style_91"/>
  </w:style>
  <w:style w:styleId="Style_77" w:type="paragraph">
    <w:name w:val="Title"/>
    <w:basedOn w:val="Style_3"/>
    <w:next w:val="Style_17"/>
    <w:link w:val="Style_7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77_ch" w:type="character">
    <w:name w:val="Title"/>
    <w:basedOn w:val="Style_3_ch"/>
    <w:link w:val="Style_77"/>
    <w:rPr>
      <w:sz w:val="48"/>
    </w:rPr>
  </w:style>
  <w:style w:styleId="Style_92" w:type="paragraph">
    <w:name w:val="List Paragraph"/>
    <w:basedOn w:val="Style_3"/>
    <w:link w:val="Style_92_ch"/>
    <w:pPr>
      <w:widowControl w:val="1"/>
      <w:ind w:left="720"/>
      <w:contextualSpacing w:val="1"/>
    </w:pPr>
  </w:style>
  <w:style w:styleId="Style_92_ch" w:type="character">
    <w:name w:val="List Paragraph"/>
    <w:basedOn w:val="Style_3_ch"/>
    <w:link w:val="Style_92"/>
  </w:style>
  <w:style w:styleId="Style_93" w:type="paragraph">
    <w:name w:val="heading 4"/>
    <w:basedOn w:val="Style_3"/>
    <w:next w:val="Style_3"/>
    <w:link w:val="Style_9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93_ch" w:type="character">
    <w:name w:val="heading 4"/>
    <w:basedOn w:val="Style_3_ch"/>
    <w:link w:val="Style_93"/>
    <w:rPr>
      <w:rFonts w:ascii="Arial" w:hAnsi="Arial"/>
      <w:b w:val="1"/>
      <w:sz w:val="26"/>
    </w:rPr>
  </w:style>
  <w:style w:styleId="Style_94" w:type="paragraph">
    <w:name w:val="ConsTitle"/>
    <w:link w:val="Style_94_ch"/>
    <w:pPr>
      <w:widowControl w:val="0"/>
      <w:ind/>
    </w:pPr>
    <w:rPr>
      <w:rFonts w:ascii="Arial" w:hAnsi="Arial"/>
      <w:b w:val="1"/>
      <w:sz w:val="14"/>
    </w:rPr>
  </w:style>
  <w:style w:styleId="Style_94_ch" w:type="character">
    <w:name w:val="ConsTitle"/>
    <w:link w:val="Style_94"/>
    <w:rPr>
      <w:rFonts w:ascii="Arial" w:hAnsi="Arial"/>
      <w:b w:val="1"/>
      <w:sz w:val="14"/>
    </w:rPr>
  </w:style>
  <w:style w:styleId="Style_95" w:type="paragraph">
    <w:name w:val="heading 2"/>
    <w:basedOn w:val="Style_3"/>
    <w:next w:val="Style_3"/>
    <w:link w:val="Style_95_ch"/>
    <w:uiPriority w:val="9"/>
    <w:qFormat/>
    <w:pPr>
      <w:keepNext w:val="1"/>
      <w:widowControl w:val="1"/>
      <w:spacing w:after="60" w:before="240"/>
      <w:ind/>
      <w:outlineLvl w:val="1"/>
    </w:pPr>
    <w:rPr>
      <w:rFonts w:ascii="Calibri Light" w:hAnsi="Calibri Light"/>
      <w:b w:val="1"/>
      <w:i w:val="1"/>
      <w:sz w:val="28"/>
    </w:rPr>
  </w:style>
  <w:style w:styleId="Style_95_ch" w:type="character">
    <w:name w:val="heading 2"/>
    <w:basedOn w:val="Style_3_ch"/>
    <w:link w:val="Style_95"/>
    <w:rPr>
      <w:rFonts w:ascii="Calibri Light" w:hAnsi="Calibri Light"/>
      <w:b w:val="1"/>
      <w:i w:val="1"/>
      <w:sz w:val="28"/>
    </w:rPr>
  </w:style>
  <w:style w:styleId="Style_96" w:type="paragraph">
    <w:name w:val="heading 6"/>
    <w:basedOn w:val="Style_3"/>
    <w:next w:val="Style_3"/>
    <w:link w:val="Style_9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96_ch" w:type="character">
    <w:name w:val="heading 6"/>
    <w:basedOn w:val="Style_3_ch"/>
    <w:link w:val="Style_96"/>
    <w:rPr>
      <w:rFonts w:ascii="Arial" w:hAnsi="Arial"/>
      <w:b w:val="1"/>
      <w:sz w:val="22"/>
    </w:rPr>
  </w:style>
  <w:style w:styleId="Style_97" w:type="table">
    <w:name w:val="Grid Table 1 Light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Bordered &amp; Lined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List Table 3 - Accent 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List Table 2 - Accent 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Grid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Plain Table 4"/>
    <w:tblPr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st Table 6 Colorful - Accent 3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Lined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List Table 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Plain Table 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Bordered &amp; Lined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List Table 5 Dark - Accent 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Grid Table 3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List Table 3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Grid Table 7 Colorful - Accent 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Grid Table 1 Light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List Table 2 - Accent 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1 Light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Grid Table 2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Grid Table 1 Light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Grid Table 5 Dark- Accent 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List Table 5 Dark - Accent 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Grid Table 2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Bordered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Plain Table 3"/>
    <w:tblPr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List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List Table 1 Light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Grid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Grid Table 5 Dark- Accent 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List Table 2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Bordered &amp; Lined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6 Colorful - Accent 2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Grid Table 2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List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Grid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Lined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List Table 2 - Accent 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List Table 3 - Accent 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List Table 5 Dark - Accent 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7 Colorful - Accent 2"/>
    <w:tblPr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List Table 7 Colorful - Accent 6"/>
    <w:tblPr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Bordered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Grid Table 5 Dark - Accent 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Bordered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Grid Table 2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Bordered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7 Colorful - Accent 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Grid Table 1 Light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7 Colorful - Accent 3"/>
    <w:tblPr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1 Light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Grid Table 6 Colorful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List Table 1 Light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Grid Table 3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List Table 6 Colorful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7 Colorful - Accent 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Lined - Accent"/>
    <w:tblPr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Grid Table 3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Grid Table 6 Colorful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st Table 1 Light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List Table 6 Colorful - Accent 6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Grid Table 5 Dark - Accent 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List Table 2 - Accent 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st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st Table 3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3 - Accent 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Bordered &amp; Lined - Accent 2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Grid Table 7 Colorful - Accent 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6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6 Colorful - Accent 5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4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Grid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st Table 2 - Accent 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st Table 5 Dark - Accent 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Grid Table 1 Light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Grid Table 6 Colorful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Grid Table 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st Table 5 Dark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Bordered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6 Colorful - Accent 1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st Table 7 Colorful"/>
    <w:tblPr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Grid Table 7 Colorful - Accent 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2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List Table 1 Light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Table Grid Light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List Table 3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ned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Lined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Grid Table 5 Dark - Accent 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Grid Table 1 Light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List Table 7 Colorful - Accent 1"/>
    <w:tblPr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Grid Table 5 Dark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Lined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Table Grid"/>
    <w:basedOn w:val="Style_166"/>
    <w:rPr>
      <w:sz w:val="22"/>
    </w:rPr>
  </w:style>
  <w:style w:styleId="Style_192" w:type="table">
    <w:name w:val="Bordered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3" w:type="table">
    <w:name w:val="Bordered &amp; Lined - Accent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4" w:type="table">
    <w:name w:val="List Table 6 Colorful - Accent 4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5" w:type="table">
    <w:name w:val="List Table 5 Dark - Accent 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6" w:type="table">
    <w:name w:val="Bordered &amp; Lined - Accent 3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7" w:type="table">
    <w:name w:val="Bordered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8" w:type="table">
    <w:name w:val="List Table 5 Dark - Accent 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9" w:type="table">
    <w:name w:val="Plain Table 5"/>
    <w:tblPr>
      <w:tblCellMar>
        <w:top w:type="dxa" w:w="0"/>
        <w:left w:type="dxa" w:w="0"/>
        <w:bottom w:type="dxa" w:w="0"/>
        <w:right w:type="dxa" w:w="0"/>
      </w:tblCellMar>
    </w:tblPr>
  </w:style>
  <w:style w:styleId="Style_200" w:type="table">
    <w:name w:val="Grid Table 7 Colorful - Accent 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1" w:type="table">
    <w:name w:val="Grid Table 7 Colorful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2" w:type="table">
    <w:name w:val="List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3" w:type="table">
    <w:name w:val="Grid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4" w:type="table">
    <w:name w:val="Grid Table 6 Colorful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5" w:type="table">
    <w:name w:val="Grid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6" w:type="table">
    <w:name w:val="List Table 1 Light"/>
    <w:tblPr>
      <w:tblCellMar>
        <w:top w:type="dxa" w:w="0"/>
        <w:left w:type="dxa" w:w="0"/>
        <w:bottom w:type="dxa" w:w="0"/>
        <w:right w:type="dxa" w:w="0"/>
      </w:tblCellMar>
    </w:tblPr>
  </w:style>
  <w:style w:styleId="Style_207" w:type="table">
    <w:name w:val="List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8" w:type="table">
    <w:name w:val="List Table 7 Colorful - Accent 5"/>
    <w:tblPr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9" w:type="table">
    <w:name w:val="Grid Table 6 Colorful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0" w:type="table">
    <w:name w:val="Grid Table 3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1" w:type="table">
    <w:name w:val="Grid Table 6 Colorful - Accent 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2" w:type="table">
    <w:name w:val="Grid Table 3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3" w:type="table">
    <w:name w:val="List Table 7 Colorful - Accent 4"/>
    <w:tblPr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4" w:type="table">
    <w:name w:val="Grid Table 2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5" w:type="table">
    <w:name w:val="Grid Table 1 Light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6" w:type="table">
    <w:name w:val="Plain Table 2"/>
    <w:tblPr>
      <w:tblBorders>
        <w:top w:sz="4" w:themeColor="text1" w:val="single"/>
        <w:left w:sz="4" w:val="nil"/>
        <w:bottom w:sz="4" w:themeColor="text1" w:val="single"/>
        <w:right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7" w:type="table">
    <w:name w:val="Grid Table 3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List Table 2 - Accent 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Grid Table 6 Colorful - Accent 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List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Grid Table 5 Dark - Accent 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Bordered &amp; Lined - Accent 4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Lined - Accent 6"/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2024-10-01T08:03:00Z</dcterms:created>
  <dcterms:modified xsi:type="dcterms:W3CDTF">2025-09-24T08:44:13Z</dcterms:modified>
</cp:coreProperties>
</file>