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1511D3">
        <w:t>21.01.2026 № 240</w:t>
      </w:r>
      <w:r w:rsidR="00D55281" w:rsidRPr="009D6579">
        <w:t xml:space="preserve">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1511D3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1511D3" w:rsidRPr="001511D3">
        <w:t>–</w:t>
      </w:r>
      <w:r w:rsidRPr="001511D3">
        <w:t xml:space="preserve"> </w:t>
      </w:r>
      <w:r w:rsidR="001511D3" w:rsidRPr="001511D3">
        <w:t>30.01.2026</w:t>
      </w:r>
      <w:r w:rsidRPr="001511D3">
        <w:t xml:space="preserve"> в 09:00 по московскому времени.</w:t>
      </w:r>
    </w:p>
    <w:p w:rsidR="00D521A3" w:rsidRPr="001511D3" w:rsidRDefault="00D521A3" w:rsidP="00D521A3">
      <w:pPr>
        <w:ind w:firstLine="709"/>
        <w:jc w:val="both"/>
      </w:pPr>
      <w:r w:rsidRPr="001511D3">
        <w:t xml:space="preserve">Дата и время окончания приема заявок </w:t>
      </w:r>
      <w:r w:rsidR="001511D3" w:rsidRPr="001511D3">
        <w:t>–</w:t>
      </w:r>
      <w:r w:rsidRPr="001511D3">
        <w:t xml:space="preserve"> </w:t>
      </w:r>
      <w:r w:rsidR="001511D3" w:rsidRPr="001511D3">
        <w:t>16.02.2026</w:t>
      </w:r>
      <w:r w:rsidRPr="001511D3">
        <w:t xml:space="preserve"> в 10:00 по московскому времени.</w:t>
      </w:r>
    </w:p>
    <w:p w:rsidR="00D521A3" w:rsidRPr="001511D3" w:rsidRDefault="00D521A3" w:rsidP="00D521A3">
      <w:pPr>
        <w:ind w:firstLine="709"/>
        <w:jc w:val="both"/>
      </w:pPr>
      <w:r w:rsidRPr="001511D3">
        <w:t xml:space="preserve">Дата рассмотрения заявок, определение участников электронного аукциона </w:t>
      </w:r>
      <w:r w:rsidR="001511D3" w:rsidRPr="001511D3">
        <w:t>–</w:t>
      </w:r>
      <w:r w:rsidRPr="001511D3">
        <w:t xml:space="preserve"> </w:t>
      </w:r>
      <w:r w:rsidR="001511D3" w:rsidRPr="001511D3">
        <w:t>17.02.2026</w:t>
      </w:r>
      <w:r w:rsidRPr="001511D3">
        <w:t>.</w:t>
      </w:r>
    </w:p>
    <w:p w:rsidR="00D521A3" w:rsidRPr="001511D3" w:rsidRDefault="00D521A3" w:rsidP="00D521A3">
      <w:pPr>
        <w:ind w:firstLine="709"/>
        <w:jc w:val="both"/>
      </w:pPr>
      <w:r w:rsidRPr="001511D3">
        <w:t xml:space="preserve">Дата и время проведения электронного аукциона </w:t>
      </w:r>
      <w:r w:rsidR="001511D3" w:rsidRPr="001511D3">
        <w:t>–</w:t>
      </w:r>
      <w:r w:rsidRPr="001511D3">
        <w:t xml:space="preserve"> </w:t>
      </w:r>
      <w:r w:rsidR="001511D3" w:rsidRPr="001511D3">
        <w:t>2</w:t>
      </w:r>
      <w:r w:rsidR="00B8663B">
        <w:t>4</w:t>
      </w:r>
      <w:bookmarkStart w:id="0" w:name="_GoBack"/>
      <w:bookmarkEnd w:id="0"/>
      <w:r w:rsidR="001511D3" w:rsidRPr="001511D3">
        <w:t>.02.2026</w:t>
      </w:r>
      <w:r w:rsidRPr="001511D3">
        <w:t xml:space="preserve"> в 10:00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1511D3">
        <w:rPr>
          <w:b/>
        </w:rPr>
        <w:t>4.1 о дате размещения извещения в соответствии с подпунктом</w:t>
      </w:r>
      <w:r w:rsidRPr="009D6579">
        <w:rPr>
          <w:b/>
        </w:rPr>
        <w:t xml:space="preserve"> 1 пункта 1 статьи 39.18 настоящего Кодекса.</w:t>
      </w:r>
    </w:p>
    <w:p w:rsidR="001D5B5D" w:rsidRPr="00910414" w:rsidRDefault="001D5B5D" w:rsidP="001D5B5D">
      <w:pPr>
        <w:ind w:firstLine="709"/>
        <w:jc w:val="both"/>
      </w:pPr>
      <w:r>
        <w:t xml:space="preserve">Дата размещения: </w:t>
      </w:r>
      <w:r w:rsidR="00AC30C6">
        <w:t>0</w:t>
      </w:r>
      <w:r w:rsidR="00EC1616">
        <w:t>9</w:t>
      </w:r>
      <w:r>
        <w:t xml:space="preserve"> </w:t>
      </w:r>
      <w:r w:rsidR="00EC1616">
        <w:t>ноября</w:t>
      </w:r>
      <w:r w:rsidRPr="001077BE">
        <w:t xml:space="preserve"> 202</w:t>
      </w:r>
      <w:r w:rsidR="00AC30C6">
        <w:t>3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C20CDD" w:rsidRDefault="00834CAE" w:rsidP="00960643">
      <w:pPr>
        <w:suppressAutoHyphens/>
        <w:ind w:firstLine="709"/>
        <w:jc w:val="both"/>
        <w:rPr>
          <w:spacing w:val="-2"/>
        </w:rPr>
      </w:pPr>
      <w:r>
        <w:rPr>
          <w:b/>
          <w:spacing w:val="-2"/>
        </w:rPr>
        <w:t>ЛОТ № 1</w:t>
      </w:r>
      <w:r w:rsidR="00C254BF" w:rsidRPr="00621C4B">
        <w:rPr>
          <w:b/>
          <w:spacing w:val="-2"/>
        </w:rPr>
        <w:t>0</w:t>
      </w:r>
      <w:r w:rsidR="0003552E">
        <w:rPr>
          <w:b/>
          <w:spacing w:val="-2"/>
        </w:rPr>
        <w:t>7</w:t>
      </w:r>
      <w:r w:rsidR="00EC1616">
        <w:rPr>
          <w:b/>
          <w:spacing w:val="-2"/>
        </w:rPr>
        <w:t>2</w:t>
      </w:r>
      <w:r w:rsidR="00C254BF" w:rsidRPr="00621C4B">
        <w:rPr>
          <w:b/>
          <w:spacing w:val="-2"/>
        </w:rPr>
        <w:t xml:space="preserve">-З </w:t>
      </w:r>
      <w:r w:rsidR="005273A8" w:rsidRPr="005273A8">
        <w:rPr>
          <w:spacing w:val="-2"/>
        </w:rPr>
        <w:t xml:space="preserve">Право заключения договора аренды земельного </w:t>
      </w:r>
      <w:r w:rsidR="00772EED">
        <w:rPr>
          <w:spacing w:val="-2"/>
        </w:rPr>
        <w:t xml:space="preserve">                  </w:t>
      </w:r>
      <w:r w:rsidR="005273A8" w:rsidRPr="005273A8">
        <w:rPr>
          <w:spacing w:val="-2"/>
        </w:rPr>
        <w:t xml:space="preserve">участка, расположенного по адресу: </w:t>
      </w:r>
      <w:r w:rsidR="00EC1616" w:rsidRPr="00EC1616">
        <w:rPr>
          <w:spacing w:val="-2"/>
        </w:rPr>
        <w:t xml:space="preserve">Краснодарский край, город Краснодар городской округ, хутор Октябрьский, улица Багратионовская, земельный </w:t>
      </w:r>
      <w:r w:rsidR="00EC1616">
        <w:rPr>
          <w:spacing w:val="-2"/>
        </w:rPr>
        <w:t xml:space="preserve"> </w:t>
      </w:r>
      <w:r w:rsidR="00EC1616" w:rsidRPr="00EC1616">
        <w:rPr>
          <w:spacing w:val="-2"/>
        </w:rPr>
        <w:t>участок 46</w:t>
      </w:r>
      <w:r w:rsidR="001D5B5D" w:rsidRPr="00C20CDD">
        <w:rPr>
          <w:spacing w:val="-2"/>
        </w:rPr>
        <w:t xml:space="preserve">, площадь </w:t>
      </w:r>
      <w:r w:rsidR="00EC1616">
        <w:rPr>
          <w:spacing w:val="-2"/>
        </w:rPr>
        <w:t>1003</w:t>
      </w:r>
      <w:r w:rsidR="001D5B5D" w:rsidRPr="00C20CDD">
        <w:rPr>
          <w:spacing w:val="-2"/>
        </w:rPr>
        <w:t xml:space="preserve"> кв.м, форма собственности: неразграниченная, категория земель: земли населённых пунктов, с кадастровым номером 23:43:</w:t>
      </w:r>
      <w:r w:rsidR="00EC1616">
        <w:rPr>
          <w:spacing w:val="-2"/>
        </w:rPr>
        <w:t>0109016:2582</w:t>
      </w:r>
      <w:r w:rsidR="00C254BF" w:rsidRPr="00C20CDD">
        <w:rPr>
          <w:spacing w:val="-2"/>
        </w:rPr>
        <w:t>.</w:t>
      </w:r>
    </w:p>
    <w:p w:rsidR="00C254BF" w:rsidRPr="00C20CDD" w:rsidRDefault="00C254BF" w:rsidP="00960643">
      <w:pPr>
        <w:suppressAutoHyphens/>
        <w:ind w:firstLine="709"/>
        <w:jc w:val="both"/>
        <w:rPr>
          <w:spacing w:val="-2"/>
        </w:rPr>
      </w:pPr>
      <w:r w:rsidRPr="00C20CDD">
        <w:rPr>
          <w:spacing w:val="-2"/>
        </w:rPr>
        <w:t xml:space="preserve">Разрешённое использование земельного участка: </w:t>
      </w:r>
      <w:r w:rsidR="00EC1616">
        <w:rPr>
          <w:spacing w:val="-2"/>
        </w:rPr>
        <w:t>Д</w:t>
      </w:r>
      <w:r w:rsidR="00EC1616" w:rsidRPr="00EC1616">
        <w:rPr>
          <w:spacing w:val="-2"/>
        </w:rPr>
        <w:t>ля ведения личного подсобного хозяйства (приусадебный земельный участок)</w:t>
      </w:r>
      <w:r w:rsidR="00EC1616">
        <w:rPr>
          <w:spacing w:val="-2"/>
        </w:rPr>
        <w:t>.</w:t>
      </w:r>
    </w:p>
    <w:p w:rsidR="002158D2" w:rsidRPr="009E35FC" w:rsidRDefault="002158D2" w:rsidP="005D20E4">
      <w:pPr>
        <w:suppressAutoHyphens/>
        <w:ind w:firstLine="709"/>
        <w:jc w:val="both"/>
        <w:rPr>
          <w:spacing w:val="-2"/>
        </w:rPr>
      </w:pPr>
      <w:r w:rsidRPr="00632BBE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721762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721762">
        <w:rPr>
          <w:spacing w:val="-2"/>
        </w:rPr>
        <w:t>р</w:t>
      </w:r>
      <w:r w:rsidR="00AC30C6" w:rsidRPr="00721762">
        <w:rPr>
          <w:spacing w:val="-2"/>
        </w:rPr>
        <w:t>одрома Краснодар (Центральный),</w:t>
      </w:r>
      <w:r w:rsidR="00F3459E" w:rsidRPr="00721762">
        <w:rPr>
          <w:spacing w:val="-2"/>
        </w:rPr>
        <w:t xml:space="preserve"> </w:t>
      </w:r>
      <w:r w:rsidR="00EC1616">
        <w:rPr>
          <w:spacing w:val="-2"/>
        </w:rPr>
        <w:t>частично расположен в охранной зоне линий электропередач.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а от границ земельных участков со стороны, примыкающей к улично-дорожной сети не менее 3 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 xml:space="preserve">Минимальные отступы от границы земельного участка в целях определения мест допустимого размещения индивидуального жилого дома </w:t>
      </w:r>
      <w:r w:rsidRPr="00ED5355">
        <w:rPr>
          <w:spacing w:val="-2"/>
        </w:rPr>
        <w:lastRenderedPageBreak/>
        <w:t>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 xml:space="preserve">Для гаражей: 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от границ смежных земельных участков – 1 м;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в случае совпадения границ земельных участков с красными линиями       улиц – 0 м;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в случае отсутствия утверждённых красных линий и совпадения границ земельного участка с улицей и/или автомобильной дорогой – 0 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Другие вспомогательные сооружения: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от границ смежных земельных участков – 1 м;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в случае совпадения границ земельных участков с красными линиями    улиц – 3 м;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в случае отсутствия утверждённых красных линий и совпадения границ земельного участка с улицей и/или автомобильной дорогой – 3 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(до 15.02.2007) Правил землепользования и застройки на территории муниципального образования город Краснодар, утверждённых решением городской Думы Краснодара № 19 п. 6 от 30.01.2007,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Противопожарные расстояния принимать в соответствии с действующими нормами.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lastRenderedPageBreak/>
        <w:t>Максимальное количество надземных этажей для зданий, строений и сооружений вспомогательного использования – 1.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Максимальная высота зданий, строений и сооружений (за исключением зданий, строений и сооружений вспомогательного использования) – 20 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D21CF6" w:rsidRPr="00ED5355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D21CF6" w:rsidRDefault="00D21CF6" w:rsidP="00D21CF6">
      <w:pPr>
        <w:suppressAutoHyphens/>
        <w:ind w:firstLine="709"/>
        <w:jc w:val="both"/>
        <w:rPr>
          <w:spacing w:val="-2"/>
        </w:rPr>
      </w:pPr>
      <w:r w:rsidRPr="00ED5355">
        <w:rPr>
          <w:spacing w:val="-2"/>
        </w:rPr>
        <w:t>Минимальный процент озеленения земельного участка – 15 %.</w:t>
      </w:r>
    </w:p>
    <w:p w:rsidR="001511D3" w:rsidRPr="001511D3" w:rsidRDefault="00C254BF" w:rsidP="001511D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9E35FC">
        <w:rPr>
          <w:spacing w:val="-2"/>
        </w:rPr>
        <w:t xml:space="preserve"> </w:t>
      </w:r>
      <w:r w:rsidR="00332BDD" w:rsidRPr="009E35FC">
        <w:rPr>
          <w:spacing w:val="-2"/>
        </w:rPr>
        <w:t> </w:t>
      </w:r>
      <w:r w:rsidR="001511D3" w:rsidRPr="001511D3">
        <w:rPr>
          <w:spacing w:val="-2"/>
        </w:rPr>
        <w:t>845 160 руб. 00 коп.</w:t>
      </w:r>
    </w:p>
    <w:p w:rsidR="001511D3" w:rsidRPr="001511D3" w:rsidRDefault="001511D3" w:rsidP="001511D3">
      <w:pPr>
        <w:suppressAutoHyphens/>
        <w:ind w:firstLine="709"/>
        <w:jc w:val="both"/>
        <w:rPr>
          <w:spacing w:val="-2"/>
        </w:rPr>
      </w:pPr>
      <w:r w:rsidRPr="001511D3">
        <w:rPr>
          <w:spacing w:val="-2"/>
        </w:rPr>
        <w:t>Шаг аукциона – 42 258 руб. 00 коп.</w:t>
      </w:r>
    </w:p>
    <w:p w:rsidR="001511D3" w:rsidRDefault="001511D3" w:rsidP="001511D3">
      <w:pPr>
        <w:suppressAutoHyphens/>
        <w:ind w:firstLine="709"/>
        <w:jc w:val="both"/>
        <w:rPr>
          <w:spacing w:val="-2"/>
        </w:rPr>
      </w:pPr>
      <w:r w:rsidRPr="001511D3">
        <w:rPr>
          <w:spacing w:val="-2"/>
        </w:rPr>
        <w:t>Сумма задатка – 760 650 руб. 00 коп.</w:t>
      </w:r>
    </w:p>
    <w:p w:rsidR="00611543" w:rsidRPr="009E35FC" w:rsidRDefault="00240C35" w:rsidP="001511D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Срок аренды 20 лет.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6.1</w:t>
      </w:r>
      <w:r w:rsidR="00C254BF" w:rsidRPr="009E35FC">
        <w:rPr>
          <w:spacing w:val="-2"/>
        </w:rPr>
        <w:t>. Иные условия договора аренды: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D36D32" w:rsidRPr="009E35FC">
        <w:rPr>
          <w:spacing w:val="-2"/>
        </w:rPr>
        <w:t>.2</w:t>
      </w:r>
      <w:r w:rsidR="00C254BF" w:rsidRPr="009E35FC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9E35FC" w:rsidRDefault="00C254BF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9E35FC" w:rsidRDefault="00C254BF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D36D32" w:rsidRPr="009E35FC">
        <w:rPr>
          <w:spacing w:val="-2"/>
        </w:rPr>
        <w:t>.3</w:t>
      </w:r>
      <w:r w:rsidR="00C254BF" w:rsidRPr="009E35FC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9E35FC" w:rsidRDefault="00A209E1" w:rsidP="00F1278C">
      <w:pPr>
        <w:suppressAutoHyphens/>
        <w:ind w:firstLine="709"/>
        <w:jc w:val="both"/>
        <w:rPr>
          <w:spacing w:val="-2"/>
        </w:rPr>
      </w:pPr>
      <w:r w:rsidRPr="00632BBE">
        <w:rPr>
          <w:spacing w:val="-2"/>
        </w:rPr>
        <w:t>6</w:t>
      </w:r>
      <w:r w:rsidR="00D36D32" w:rsidRPr="00632BBE">
        <w:rPr>
          <w:spacing w:val="-2"/>
        </w:rPr>
        <w:t>.4</w:t>
      </w:r>
      <w:r w:rsidR="00C254BF" w:rsidRPr="00632BBE">
        <w:rPr>
          <w:spacing w:val="-2"/>
        </w:rPr>
        <w:t xml:space="preserve">. </w:t>
      </w:r>
      <w:r w:rsidR="002158D2" w:rsidRPr="00632BBE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D82C97" w:rsidRPr="00721762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аэродрома Краснодар (Центральный), </w:t>
      </w:r>
      <w:r w:rsidR="00D82C97">
        <w:rPr>
          <w:spacing w:val="-2"/>
        </w:rPr>
        <w:t>частично расположен в охранной зоне линий электропередач.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6B6DBA" w:rsidRPr="009E35FC">
        <w:rPr>
          <w:spacing w:val="-2"/>
        </w:rPr>
        <w:t>.5</w:t>
      </w:r>
      <w:r w:rsidR="00C254BF" w:rsidRPr="009E35FC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951628" w:rsidRDefault="008D70A9" w:rsidP="008D70A9">
      <w:pPr>
        <w:suppressAutoHyphens/>
        <w:ind w:firstLine="709"/>
        <w:jc w:val="both"/>
        <w:rPr>
          <w:spacing w:val="-2"/>
        </w:rPr>
      </w:pPr>
      <w:r w:rsidRPr="00721762">
        <w:rPr>
          <w:spacing w:val="-2"/>
        </w:rPr>
        <w:lastRenderedPageBreak/>
        <w:t xml:space="preserve">1) Водоснабжение объекта. </w:t>
      </w:r>
      <w:r w:rsidR="00951628">
        <w:rPr>
          <w:spacing w:val="-2"/>
        </w:rPr>
        <w:t xml:space="preserve">Согласно информации ООО «Краснодар Водоканал» </w:t>
      </w:r>
      <w:r w:rsidR="00951628" w:rsidRPr="00721762">
        <w:t>техническая возможность подключения</w:t>
      </w:r>
      <w:r w:rsidR="00951628">
        <w:t xml:space="preserve"> имеется.</w:t>
      </w:r>
    </w:p>
    <w:p w:rsidR="00951628" w:rsidRPr="00721762" w:rsidRDefault="008D70A9" w:rsidP="00951628">
      <w:pPr>
        <w:suppressAutoHyphens/>
        <w:ind w:firstLine="709"/>
        <w:jc w:val="both"/>
        <w:rPr>
          <w:spacing w:val="-2"/>
        </w:rPr>
      </w:pPr>
      <w:r w:rsidRPr="00721762">
        <w:rPr>
          <w:spacing w:val="-2"/>
        </w:rPr>
        <w:t xml:space="preserve">2) </w:t>
      </w:r>
      <w:r w:rsidRPr="00721762">
        <w:t xml:space="preserve">Водоотведение объекта. </w:t>
      </w:r>
      <w:r w:rsidR="00951628" w:rsidRPr="00721762">
        <w:t xml:space="preserve">Согласно информации </w:t>
      </w:r>
      <w:r w:rsidR="00951628">
        <w:t xml:space="preserve">ООО «Краснодар Водоканал», ООО «ОВК-Восток» </w:t>
      </w:r>
      <w:r w:rsidR="00951628" w:rsidRPr="00721762">
        <w:t>техническая возможность подключения отсутствует</w:t>
      </w:r>
      <w:r w:rsidR="00951628" w:rsidRPr="00721762">
        <w:rPr>
          <w:spacing w:val="-2"/>
        </w:rPr>
        <w:t>.</w:t>
      </w:r>
    </w:p>
    <w:p w:rsidR="00B03C19" w:rsidRPr="00721762" w:rsidRDefault="008D70A9" w:rsidP="008D70A9">
      <w:pPr>
        <w:suppressAutoHyphens/>
        <w:ind w:firstLine="709"/>
        <w:jc w:val="both"/>
      </w:pPr>
      <w:r w:rsidRPr="00721762">
        <w:rPr>
          <w:spacing w:val="-2"/>
        </w:rPr>
        <w:t xml:space="preserve">3) </w:t>
      </w:r>
      <w:r w:rsidRPr="00721762">
        <w:t xml:space="preserve">Теплоснабжение объекта. </w:t>
      </w:r>
      <w:r w:rsidR="00CA3F26" w:rsidRPr="00721762">
        <w:t>Согласно информации градостроительного плана земельного участка возможность подключения (технологического присоединения) объектов капитального строительства к сетям теплоснабжения, а также сведения об организации, предоставившей данную информацию, отсутствует.</w:t>
      </w:r>
    </w:p>
    <w:p w:rsidR="006850C1" w:rsidRPr="002B79B2" w:rsidRDefault="008D70A9" w:rsidP="008D70A9">
      <w:pPr>
        <w:suppressAutoHyphens/>
        <w:ind w:firstLine="709"/>
        <w:jc w:val="both"/>
      </w:pPr>
      <w:r w:rsidRPr="00721762">
        <w:rPr>
          <w:spacing w:val="-2"/>
        </w:rPr>
        <w:t xml:space="preserve">4) </w:t>
      </w:r>
      <w:r w:rsidRPr="00721762">
        <w:t>Газоснабжение объекта</w:t>
      </w:r>
      <w:r w:rsidRPr="00721762">
        <w:rPr>
          <w:spacing w:val="-2"/>
        </w:rPr>
        <w:t xml:space="preserve">. </w:t>
      </w:r>
      <w:r w:rsidRPr="00721762">
        <w:t xml:space="preserve">Согласно информации </w:t>
      </w:r>
      <w:r w:rsidR="00951628">
        <w:t>АО «Газпром газораспределения Краснодар»</w:t>
      </w:r>
      <w:r w:rsidRPr="00721762">
        <w:t xml:space="preserve"> </w:t>
      </w:r>
      <w:r w:rsidR="00B03C19" w:rsidRPr="00721762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 w:rsidRPr="00C20CDD">
        <w:rPr>
          <w:spacing w:val="-2"/>
        </w:rPr>
        <w:t>6</w:t>
      </w:r>
      <w:r w:rsidR="006B6DBA" w:rsidRPr="00C20CDD">
        <w:rPr>
          <w:spacing w:val="-2"/>
        </w:rPr>
        <w:t>.6</w:t>
      </w:r>
      <w:r w:rsidR="00C254BF" w:rsidRPr="00C20CDD">
        <w:rPr>
          <w:spacing w:val="-2"/>
        </w:rPr>
        <w:t>. В месячный срок с момента подписания договора аренды обратиться в</w:t>
      </w:r>
      <w:r w:rsidR="00C254BF" w:rsidRPr="001969B0">
        <w:rPr>
          <w:spacing w:val="-2"/>
        </w:rPr>
        <w:t xml:space="preserve">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Направление Заявителем заявки на участие в процедуре автоматически является поручением Оператору о блокировании операций по вышеуказанному </w:t>
      </w:r>
      <w:r w:rsidRPr="00A01002">
        <w:rPr>
          <w:spacing w:val="-2"/>
        </w:rPr>
        <w:lastRenderedPageBreak/>
        <w:t>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lastRenderedPageBreak/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lastRenderedPageBreak/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lastRenderedPageBreak/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</w:t>
      </w:r>
      <w:r w:rsidRPr="00C43425">
        <w:rPr>
          <w:spacing w:val="-2"/>
        </w:rPr>
        <w:lastRenderedPageBreak/>
        <w:t xml:space="preserve">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</w:t>
      </w:r>
      <w:r w:rsidRPr="00C43425">
        <w:rPr>
          <w:spacing w:val="-2"/>
        </w:rPr>
        <w:lastRenderedPageBreak/>
        <w:t xml:space="preserve">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</w:t>
      </w:r>
      <w:r w:rsidRPr="00C43425">
        <w:rPr>
          <w:spacing w:val="-2"/>
        </w:rPr>
        <w:lastRenderedPageBreak/>
        <w:t>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дням </w:t>
      </w:r>
      <w:r w:rsidR="001511D3">
        <w:t>с 30.01.2026 до 16.02.2026</w:t>
      </w:r>
      <w:r w:rsidR="000243DB" w:rsidRPr="00AA4F71">
        <w:t xml:space="preserve"> </w:t>
      </w:r>
      <w:r w:rsidR="000243DB" w:rsidRPr="00D05C0E"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CA3F26" w:rsidRDefault="00CA3F26" w:rsidP="00960643">
      <w:pPr>
        <w:suppressAutoHyphens/>
        <w:ind w:firstLine="709"/>
        <w:jc w:val="both"/>
      </w:pPr>
    </w:p>
    <w:p w:rsidR="00951628" w:rsidRDefault="00951628" w:rsidP="00960643">
      <w:pPr>
        <w:suppressAutoHyphens/>
        <w:ind w:firstLine="709"/>
        <w:jc w:val="both"/>
      </w:pPr>
    </w:p>
    <w:p w:rsidR="00951628" w:rsidRDefault="00951628" w:rsidP="00960643">
      <w:pPr>
        <w:suppressAutoHyphens/>
        <w:ind w:firstLine="709"/>
        <w:jc w:val="both"/>
      </w:pPr>
    </w:p>
    <w:p w:rsidR="00951628" w:rsidRDefault="00951628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lastRenderedPageBreak/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CA3F26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571DB5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4E" w:rsidRDefault="00253F4E" w:rsidP="00647C9A">
      <w:r>
        <w:separator/>
      </w:r>
    </w:p>
  </w:endnote>
  <w:endnote w:type="continuationSeparator" w:id="0">
    <w:p w:rsidR="00253F4E" w:rsidRDefault="00253F4E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4E" w:rsidRDefault="00253F4E" w:rsidP="00647C9A">
      <w:r>
        <w:separator/>
      </w:r>
    </w:p>
  </w:footnote>
  <w:footnote w:type="continuationSeparator" w:id="0">
    <w:p w:rsidR="00253F4E" w:rsidRDefault="00253F4E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8663B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552E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11D3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3F4E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9B2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17C5E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047A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C5A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1DB5"/>
    <w:rsid w:val="00573B5C"/>
    <w:rsid w:val="0057627B"/>
    <w:rsid w:val="0058022A"/>
    <w:rsid w:val="00580573"/>
    <w:rsid w:val="00581557"/>
    <w:rsid w:val="005818E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09EB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2BBE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5F89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5A69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1762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103C1"/>
    <w:rsid w:val="00810F59"/>
    <w:rsid w:val="00813F38"/>
    <w:rsid w:val="00814905"/>
    <w:rsid w:val="00814BC9"/>
    <w:rsid w:val="008151BB"/>
    <w:rsid w:val="00816E92"/>
    <w:rsid w:val="00820CDD"/>
    <w:rsid w:val="008211A2"/>
    <w:rsid w:val="008212D4"/>
    <w:rsid w:val="008223C5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47DE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1628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0116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35FC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0C6"/>
    <w:rsid w:val="00AC3567"/>
    <w:rsid w:val="00AC3CEA"/>
    <w:rsid w:val="00AC430D"/>
    <w:rsid w:val="00AC493F"/>
    <w:rsid w:val="00AC4C79"/>
    <w:rsid w:val="00AC55FF"/>
    <w:rsid w:val="00AD0EC3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663B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0CD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3D6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4D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3F26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D70A0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1CF6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67B64"/>
    <w:rsid w:val="00D703B8"/>
    <w:rsid w:val="00D70D78"/>
    <w:rsid w:val="00D7408A"/>
    <w:rsid w:val="00D7471B"/>
    <w:rsid w:val="00D75D10"/>
    <w:rsid w:val="00D76AE9"/>
    <w:rsid w:val="00D777DD"/>
    <w:rsid w:val="00D80395"/>
    <w:rsid w:val="00D82C97"/>
    <w:rsid w:val="00D839DE"/>
    <w:rsid w:val="00D84435"/>
    <w:rsid w:val="00D847EB"/>
    <w:rsid w:val="00D85907"/>
    <w:rsid w:val="00D920BE"/>
    <w:rsid w:val="00D9544F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594A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616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459E"/>
    <w:rsid w:val="00F35E6D"/>
    <w:rsid w:val="00F369CC"/>
    <w:rsid w:val="00F36E33"/>
    <w:rsid w:val="00F37264"/>
    <w:rsid w:val="00F37379"/>
    <w:rsid w:val="00F40A78"/>
    <w:rsid w:val="00F4123D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3D3E"/>
    <w:rsid w:val="00FB5F2F"/>
    <w:rsid w:val="00FB6DBE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AA388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07D6-15B1-47E1-913E-ACD7982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6403</TotalTime>
  <Pages>14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34980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153</cp:revision>
  <cp:lastPrinted>2025-04-09T11:52:00Z</cp:lastPrinted>
  <dcterms:created xsi:type="dcterms:W3CDTF">2023-10-24T10:10:00Z</dcterms:created>
  <dcterms:modified xsi:type="dcterms:W3CDTF">2026-01-23T12:37:00Z</dcterms:modified>
</cp:coreProperties>
</file>