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ЗАКЛЮЧЕНИЯ ДОГОВОРА </w:t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</w:t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 </w:t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ОТНОШЕНИИ </w:t>
      </w: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АВТОЦИСТЕРН ПО РЕАЛИЗАЦИИ МОЛОКА </w:t>
      </w:r>
      <w:r>
        <w:rPr>
          <w:rFonts w:ascii="PT Astra Serif" w:hAnsi="PT Astra Serif" w:cs="PT Astra Serif"/>
          <w:b/>
          <w:bCs/>
          <w:sz w:val="28"/>
          <w:szCs w:val="28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ПАСТЕРИЗОВАННОГО В ЗАПАДНОМ И ЦЕНТРАЛЬНОМ </w:t>
      </w:r>
      <w:r>
        <w:rPr>
          <w:rFonts w:ascii="PT Astra Serif" w:hAnsi="PT Astra Serif" w:cs="PT Astra Serif"/>
          <w:b/>
          <w:bCs/>
          <w:sz w:val="28"/>
          <w:szCs w:val="28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ВНУТРИГОРОДСКИХ ОКРУГАХ ГОРОДА КРАСНОДАРА</w:t>
      </w:r>
      <w:r/>
      <w:r/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24.09.2024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26.08.2024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16.09.2024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20.09.2024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27.09.2024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316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                                        Приложение №1</w:t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rPr>
          <w:rFonts w:ascii="PT Astra Serif" w:hAnsi="PT Astra Serif" w:cs="PT Astra Serif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14:ligatures w14:val="none"/>
        </w:rPr>
      </w:r>
      <w:r>
        <w:rPr>
          <w:rFonts w:ascii="PT Astra Serif" w:hAnsi="PT Astra Serif" w:cs="PT Astra Serif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на право заключения договора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права на размещение автоцистерн по реализации молока пастеризованного в Западном и Центральном внутригородских округах города Краснодара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: </w:t>
      </w:r>
      <w:r>
        <w:rPr>
          <w:rFonts w:ascii="PT Astra Serif" w:hAnsi="PT Astra Serif" w:cs="PT Astra Serif"/>
          <w:b/>
          <w:bCs/>
          <w:sz w:val="24"/>
          <w:szCs w:val="24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14:ligatures w14:val="none"/>
        </w:rPr>
      </w:r>
      <w:r>
        <w:rPr>
          <w:rFonts w:ascii="PT Astra Serif" w:hAnsi="PT Astra Serif" w:cs="PT Astra Serif"/>
          <w:sz w:val="24"/>
          <w:szCs w:val="24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</w:rPr>
        <w:t xml:space="preserve">Сведения о лотах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Проспект Чекистов (вблизи строений № 7/1–7)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6 432,00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32 160,00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М-71478-01-06-24/53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Фёдора Лузана (вблизи строения № 9)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9 480,00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47 400,00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М-71478-01-06-24/56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Офицерская (вблизи строения № 35)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12 408,00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62 040,00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М-71478-01-06-24/57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Речная (вблизи строения № 3)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9 384,00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46 920,00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М-71478-01-06-24/58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Рождественская На-бережная (вблизи строения № 29)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6 432,00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32 160,00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М-71478-01-06-24/59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Северная – ул. Севастопольская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11 728,00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58 640,00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№7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Южная (вблизи строения  № 19) – ул. Заводская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9 384,00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46 920,00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№8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Южная (вблизи строения № 28)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9 384,00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46 920,00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М-71478-01-06-24/68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проезд 1-й им. Стасова - ул. Свободная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7 560,00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37 800,00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Бургасская – ул. им. Айвазовского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7 560,00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37 800,00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М-71478-01-06-24/70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№11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Айвазовского (вблизи строения № 110)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7 560,00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37 800,00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М-71478-01-06-24/73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Володарского (вблизи строения № 66) – ул. Новокузнечная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7 072,00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35 360,00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М-71478-01-06-24/76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№13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Шевченко – ул. Ставропольская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8 440,00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42 200,00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М-71478-01-06-24/80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Товараная (вблизи строения № 4)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5 540,00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27 700,00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М-71478-01-06-24/90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18</cp:revision>
  <dcterms:created xsi:type="dcterms:W3CDTF">2023-03-31T12:12:00Z</dcterms:created>
  <dcterms:modified xsi:type="dcterms:W3CDTF">2024-08-17T11:02:06Z</dcterms:modified>
</cp:coreProperties>
</file>