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64" w:lineRule="auto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  <w:t xml:space="preserve">ОБОСНОВАНИЕ 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jc w:val="center"/>
        <w:spacing w:line="264" w:lineRule="auto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прогнозных характеристик социально-экономического развития 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jc w:val="center"/>
        <w:spacing w:line="264" w:lineRule="auto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муниципального образования город Краснодар на 2025 год 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jc w:val="center"/>
        <w:spacing w:line="264" w:lineRule="auto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 на плановый период до 2027 года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spacing w:line="264" w:lineRule="auto"/>
        <w:tabs>
          <w:tab w:val="left" w:pos="993" w:leader="none"/>
        </w:tabs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Разработка прогнозных характеристик социально-экономического развития муниципального образования город Краснодар на 2025 год и на плановый период до 2027 года осуществлялась в целях реализации: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Федерального закона от 28.06.2014 № 172-ФЗ «О стратегическом планировании в Российской Федерации»;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Закона Краснодарского края от 06.11.2015 № 3267-КЗ «О стратегическом планировании в Краснодарском крае»;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постановления главы адми</w:t>
      </w:r>
      <w:r>
        <w:rPr>
          <w:spacing w:val="2"/>
          <w:sz w:val="28"/>
          <w:szCs w:val="28"/>
          <w:highlight w:val="white"/>
        </w:rPr>
        <w:t xml:space="preserve">нистрации (губернатора) Краснодарского края от 23.07.2015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периоды»;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постановления администрации муниципального образования город Краснодар от 22.09.2022 № 4444 «О разработке, утверждении (одобрении), корректировке, осуществлении мониторинга и </w:t>
      </w:r>
      <w:r>
        <w:rPr>
          <w:spacing w:val="2"/>
          <w:sz w:val="28"/>
          <w:szCs w:val="28"/>
          <w:highlight w:val="white"/>
        </w:rPr>
        <w:t xml:space="preserve">контроля документов стратегического планирования муниципального образования город Краснодар, предусмотренных пунктами 1–3 части 5 статьи 11 Федерального закона                   от 28.06.2014 № 172-ФЗ «О стратегическом планировании в Российской Федерации».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2. </w:t>
      </w:r>
      <w:r>
        <w:rPr>
          <w:spacing w:val="2"/>
          <w:sz w:val="28"/>
          <w:szCs w:val="28"/>
          <w:highlight w:val="white"/>
        </w:rPr>
        <w:t xml:space="preserve">В основу Прогноза положены итоги развития экономики муниципального образования город Краснодар в предшествующие годы и оценка результатов работы в 2024 году, основанная на аналитической обработке статистической информации </w:t>
      </w:r>
      <w:r>
        <w:rPr>
          <w:spacing w:val="2"/>
          <w:sz w:val="28"/>
          <w:szCs w:val="28"/>
          <w:highlight w:val="white"/>
        </w:rPr>
        <w:t xml:space="preserve">за первое полугодие, а также на предварительных данных, полученных от предприятий и организаций, осуществляющих хозяйственную деятельность на территории муниципального образования город Краснодар: планов предприятий и организаций города на 2024–2027 годы.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3. При расчёте прогнозных показателей использовались рекомендованные Министерством эк</w:t>
      </w:r>
      <w:r>
        <w:rPr>
          <w:spacing w:val="2"/>
          <w:sz w:val="28"/>
          <w:szCs w:val="28"/>
          <w:highlight w:val="white"/>
        </w:rPr>
        <w:t xml:space="preserve">ономического развития Российской Федерации индексы цен, дифференцированные с учётом развития инфляционных процессов в Краснодарском крае и особенностей функционирования отдельных отраслей хозяйственного комплекса муниципального образования город Краснодар.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4. </w:t>
      </w:r>
      <w:r>
        <w:rPr>
          <w:spacing w:val="2"/>
          <w:sz w:val="28"/>
          <w:szCs w:val="28"/>
          <w:highlight w:val="white"/>
        </w:rPr>
        <w:t xml:space="preserve">В 2023 году в целом экономика муниципального образования город Краснодар показала устойчивость, в том числе благодаря реализации плана первоочередных мер по поддержке экономики и своей многоукладности.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К главным рискам в прогнозируемом периоде следует отнести: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возможное усиление геополитического давления (ужесточение санкций, ограничений на торговлю и инвестиции);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сохраняющиеся риски со стороны инфляционных ожиданий, которые могут надолго закрепиться на высоком уровне;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исчерпание доступных производственных мощностей и рабочей силы;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дефицит кадров.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 Разрешению указанных проблем будут способствовать: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8"/>
        <w:jc w:val="both"/>
        <w:spacing w:line="264" w:lineRule="auto"/>
        <w:tabs>
          <w:tab w:val="left" w:pos="993" w:leader="none"/>
        </w:tabs>
        <w:rPr>
          <w:rFonts w:eastAsia="Calibri"/>
          <w:sz w:val="28"/>
          <w:szCs w:val="28"/>
          <w:highlight w:val="white"/>
          <w:shd w:val="clear" w:color="auto" w:fill="ffffff"/>
        </w:rPr>
      </w:pPr>
      <w:r>
        <w:rPr>
          <w:rFonts w:eastAsia="Calibri"/>
          <w:sz w:val="28"/>
          <w:szCs w:val="28"/>
          <w:highlight w:val="white"/>
          <w:shd w:val="clear" w:color="auto" w:fill="ffffff"/>
        </w:rPr>
        <w:t xml:space="preserve">  1) активные меры поддержки и реализация антикризисных программ;</w:t>
      </w:r>
      <w:r>
        <w:rPr>
          <w:rFonts w:eastAsia="Calibri"/>
          <w:sz w:val="28"/>
          <w:szCs w:val="28"/>
          <w:highlight w:val="white"/>
          <w:shd w:val="clear" w:color="auto" w:fill="ffffff"/>
        </w:rPr>
      </w:r>
      <w:r>
        <w:rPr>
          <w:rFonts w:eastAsia="Calibri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line="264" w:lineRule="auto"/>
        <w:shd w:val="clear" w:color="auto" w:fill="ffffff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продолжение структурной трансформации, создание и развитие новые производств товаров и услуг, в том числе импортозамещающих;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развитие инновационного потенциала;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64" w:lineRule="auto"/>
        <w:shd w:val="clear" w:color="auto" w:fill="ffff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4) меры по повышению инвестиционной привлекательности и созданию благоприятных условий для развития бизнеса;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64" w:lineRule="auto"/>
        <w:shd w:val="clear" w:color="auto" w:fill="ffff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5) повышение уровня квалификации работающих, создание условий для привлечения высококвалифицированных специалистов;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64" w:lineRule="auto"/>
        <w:shd w:val="clear" w:color="auto" w:fill="ffffff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6) повышение производительности труда.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 Прогноз социально-экономического развития муниципального образования город Краснодар на 2025 год и на плановый период до 2027 года разработан в двух вариантах: 1 вариант – консервативный, 2 вариант – базовый (основной).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.1. Базовый вариант описывает наиболее вероятный сценарий развития экономики с учётом относительно оптимистичных изменений внешних условий.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.2. Консервативный вариант основан на предпосылках об ухудшении внешнеэкономических условий и более сдержанном восстановлении внутреннего спроса.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 Обзор основных разделов прогноза социально-экономического развития муниципального образования город Краснодар на 2025 год и на плановый период до 2027 года.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left="708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.1. </w:t>
      </w:r>
      <w:r>
        <w:rPr>
          <w:spacing w:val="2"/>
          <w:sz w:val="28"/>
          <w:szCs w:val="28"/>
          <w:highlight w:val="white"/>
        </w:rPr>
        <w:t xml:space="preserve">Промышленная деятельность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главным сдерживающим факторам развития промышленного комплекса в прогнозируемом периоде можно отнести: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введение санкций, которые ограничивают как импорт, так и экспорт продукции;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уход с российского рынка иностранных компаний-производителей;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разрыв отлаженных логистических цепочек и нарушение технологических процессов под влиянием санкций;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сложности с поставками материалов и комплектующих;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«крайне высокая» неопределённость развития, отсутствие чётких инфляционных ожиданий.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64" w:lineRule="auto"/>
        <w:shd w:val="clear" w:color="auto" w:fill="ffffff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Решению существующих проблем </w:t>
      </w:r>
      <w:r>
        <w:rPr>
          <w:sz w:val="28"/>
          <w:highlight w:val="white"/>
        </w:rPr>
        <w:t xml:space="preserve">будут способствовать: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создание новых наукоёмких производств с использованием инновационных разработок;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внедрение нового высокопроизводительного оборудования и современных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организация производства изделий, замещающих импортные;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повышение конкурентоспособности продукции;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поиск новых рынков сбыта;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поиск поставщиков материалов и комплектующих внутри страны и в дружественных странах;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line="264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повышение производительности труда;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shd w:val="clear" w:color="auto" w:fill="ffffff"/>
        <w:rPr>
          <w:color w:val="020c22"/>
          <w:sz w:val="28"/>
          <w:szCs w:val="28"/>
          <w:highlight w:val="white"/>
          <w:shd w:val="clear" w:color="auto" w:fill="fefefe"/>
        </w:rPr>
      </w:pPr>
      <w:r>
        <w:rPr>
          <w:color w:val="020c22"/>
          <w:sz w:val="28"/>
          <w:szCs w:val="28"/>
          <w:highlight w:val="white"/>
          <w:shd w:val="clear" w:color="auto" w:fill="fefefe"/>
        </w:rPr>
        <w:t xml:space="preserve">повышение доступности финансовых ресурсов для предприятий промышленного комплекса. </w:t>
      </w:r>
      <w:r>
        <w:rPr>
          <w:color w:val="020c22"/>
          <w:sz w:val="28"/>
          <w:szCs w:val="28"/>
          <w:highlight w:val="white"/>
          <w:shd w:val="clear" w:color="auto" w:fill="fefefe"/>
        </w:rPr>
      </w:r>
      <w:r>
        <w:rPr>
          <w:color w:val="020c22"/>
          <w:sz w:val="28"/>
          <w:szCs w:val="28"/>
          <w:highlight w:val="white"/>
          <w:shd w:val="clear" w:color="auto" w:fill="fefef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Промышленная деятельность представлена четырьмя укрупнёнными разделами: В – «Добыча полезных ископаемых», С – «Обрабатывающие производства», </w:t>
      </w:r>
      <w:r>
        <w:rPr>
          <w:sz w:val="28"/>
          <w:highlight w:val="white"/>
          <w:lang w:val="en-US"/>
        </w:rPr>
        <w:t xml:space="preserve">D</w:t>
      </w:r>
      <w:r>
        <w:rPr>
          <w:sz w:val="28"/>
          <w:highlight w:val="white"/>
        </w:rPr>
        <w:t xml:space="preserve"> – «Обеспечение электрической энергией, газом и паром; кондиционирование воздуха» и Е – «Водоснабжение; водоотведение, органи</w:t>
      </w:r>
      <w:r>
        <w:rPr>
          <w:sz w:val="28"/>
          <w:highlight w:val="white"/>
        </w:rPr>
        <w:t xml:space="preserve">зация сбора и утилизация отходов, деятельность по ликвидации загрязнений». Основным объёмным показателем деятельности предприятий промышленности является «объём отгруженных товаров собственного производства, выполненных работ и услуг собственными силами».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spacing w:line="264" w:lineRule="auto"/>
        <w:rPr>
          <w:rFonts w:ascii="Segoe UI" w:hAnsi="Segoe UI" w:cs="Segoe UI"/>
          <w:color w:val="ff0000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По итогам 2023 года </w:t>
      </w:r>
      <w:r>
        <w:rPr>
          <w:sz w:val="28"/>
          <w:highlight w:val="white"/>
        </w:rPr>
        <w:t xml:space="preserve">объём отгруженных товаров собственного производства, выполненных работ и услуг по полному кругу предприятий составил </w:t>
      </w:r>
      <w:r>
        <w:rPr>
          <w:sz w:val="28"/>
          <w:highlight w:val="white"/>
        </w:rPr>
        <w:t xml:space="preserve">333,6 </w:t>
      </w:r>
      <w:r>
        <w:rPr>
          <w:spacing w:val="2"/>
          <w:sz w:val="28"/>
          <w:szCs w:val="28"/>
          <w:highlight w:val="white"/>
        </w:rPr>
        <w:t xml:space="preserve">млрд рублей или </w:t>
      </w:r>
      <w:r>
        <w:rPr>
          <w:spacing w:val="2"/>
          <w:sz w:val="28"/>
          <w:szCs w:val="28"/>
          <w:highlight w:val="white"/>
        </w:rPr>
        <w:t xml:space="preserve">111,5</w:t>
      </w:r>
      <w:r>
        <w:rPr>
          <w:spacing w:val="2"/>
          <w:sz w:val="28"/>
          <w:szCs w:val="28"/>
          <w:highlight w:val="white"/>
        </w:rPr>
        <w:t xml:space="preserve">% к 2022 году, и 108,6% к ранее планируемому значению</w:t>
      </w:r>
      <w:r>
        <w:rPr>
          <w:spacing w:val="2"/>
          <w:sz w:val="28"/>
          <w:szCs w:val="28"/>
          <w:highlight w:val="white"/>
        </w:rPr>
        <w:t xml:space="preserve">. </w:t>
      </w:r>
      <w:r>
        <w:rPr>
          <w:rFonts w:ascii="Segoe UI" w:hAnsi="Segoe UI" w:cs="Segoe UI"/>
          <w:color w:val="ff0000"/>
          <w:highlight w:val="white"/>
        </w:rPr>
      </w:r>
      <w:r>
        <w:rPr>
          <w:rFonts w:ascii="Segoe UI" w:hAnsi="Segoe UI" w:cs="Segoe UI"/>
          <w:color w:val="ff0000"/>
          <w:highlight w:val="white"/>
        </w:rPr>
      </w:r>
    </w:p>
    <w:p>
      <w:pPr>
        <w:ind w:firstLine="708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Основн</w:t>
      </w:r>
      <w:r>
        <w:rPr>
          <w:spacing w:val="2"/>
          <w:sz w:val="28"/>
          <w:szCs w:val="28"/>
          <w:highlight w:val="white"/>
        </w:rPr>
        <w:t xml:space="preserve">ые</w:t>
      </w:r>
      <w:r>
        <w:rPr>
          <w:spacing w:val="2"/>
          <w:sz w:val="28"/>
          <w:szCs w:val="28"/>
          <w:highlight w:val="white"/>
        </w:rPr>
        <w:t xml:space="preserve"> причин</w:t>
      </w:r>
      <w:r>
        <w:rPr>
          <w:spacing w:val="2"/>
          <w:sz w:val="28"/>
          <w:szCs w:val="28"/>
          <w:highlight w:val="white"/>
        </w:rPr>
        <w:t xml:space="preserve">ы</w:t>
      </w:r>
      <w:r>
        <w:rPr>
          <w:spacing w:val="2"/>
          <w:sz w:val="28"/>
          <w:szCs w:val="28"/>
          <w:highlight w:val="white"/>
        </w:rPr>
        <w:t xml:space="preserve"> – уточнение объёмов производства по сравнению с ранее планируемыми предприяти</w:t>
      </w:r>
      <w:r>
        <w:rPr>
          <w:spacing w:val="2"/>
          <w:sz w:val="28"/>
          <w:szCs w:val="28"/>
          <w:highlight w:val="white"/>
        </w:rPr>
        <w:t xml:space="preserve">ями</w:t>
      </w:r>
      <w:r>
        <w:rPr>
          <w:spacing w:val="2"/>
          <w:sz w:val="28"/>
          <w:szCs w:val="28"/>
          <w:highlight w:val="white"/>
        </w:rPr>
        <w:t xml:space="preserve">, заняты</w:t>
      </w:r>
      <w:r>
        <w:rPr>
          <w:spacing w:val="2"/>
          <w:sz w:val="28"/>
          <w:szCs w:val="28"/>
          <w:highlight w:val="white"/>
        </w:rPr>
        <w:t xml:space="preserve">ми</w:t>
      </w:r>
      <w:r>
        <w:rPr>
          <w:spacing w:val="2"/>
          <w:sz w:val="28"/>
          <w:szCs w:val="28"/>
          <w:highlight w:val="white"/>
        </w:rPr>
        <w:t xml:space="preserve"> обеспечением электрической энергией, газом и паром и добычей полезных ископаемых</w:t>
      </w:r>
      <w:r>
        <w:rPr>
          <w:spacing w:val="2"/>
          <w:sz w:val="28"/>
          <w:szCs w:val="28"/>
          <w:highlight w:val="white"/>
        </w:rPr>
        <w:t xml:space="preserve">,</w:t>
      </w:r>
      <w:r>
        <w:rPr>
          <w:spacing w:val="2"/>
          <w:sz w:val="28"/>
          <w:szCs w:val="28"/>
          <w:highlight w:val="white"/>
        </w:rPr>
        <w:t xml:space="preserve"> в связи с перераспределением объёмов между территориальными подразделениями; появление новых предприя</w:t>
      </w:r>
      <w:r>
        <w:rPr>
          <w:spacing w:val="2"/>
          <w:sz w:val="28"/>
          <w:szCs w:val="28"/>
          <w:highlight w:val="white"/>
        </w:rPr>
        <w:t xml:space="preserve">тий в производстве молочных продуктов; единовременное отражение в 2023 году предприятия по группе переработки и консервирования фруктов и овощей; переход в группу «крупные и средние» и наращивание объёмов производства предприятиями, занятыми производством </w:t>
      </w:r>
      <w:r>
        <w:rPr>
          <w:spacing w:val="2"/>
          <w:sz w:val="28"/>
          <w:szCs w:val="28"/>
          <w:highlight w:val="white"/>
        </w:rPr>
        <w:t xml:space="preserve">химических веществ и химических продуктов, производством мебели, производств</w:t>
      </w:r>
      <w:r>
        <w:rPr>
          <w:spacing w:val="2"/>
          <w:sz w:val="28"/>
          <w:szCs w:val="28"/>
          <w:highlight w:val="white"/>
        </w:rPr>
        <w:t xml:space="preserve">ом</w:t>
      </w:r>
      <w:r>
        <w:rPr>
          <w:spacing w:val="2"/>
          <w:sz w:val="28"/>
          <w:szCs w:val="28"/>
          <w:highlight w:val="white"/>
        </w:rPr>
        <w:t xml:space="preserve"> готовых кормов для животных; уточнение объёмов производства предприятий занятых производством машин и оборудования, не включенных в другие группировки, производством металлургическим.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2024 году объём </w:t>
      </w:r>
      <w:r>
        <w:rPr>
          <w:sz w:val="28"/>
          <w:highlight w:val="white"/>
        </w:rPr>
        <w:t xml:space="preserve">отгруженных товаров собственного производства, выполненных работ и услуг по полному кругу предприятий города </w:t>
      </w:r>
      <w:r>
        <w:rPr>
          <w:spacing w:val="2"/>
          <w:sz w:val="28"/>
          <w:szCs w:val="28"/>
          <w:highlight w:val="white"/>
        </w:rPr>
        <w:t xml:space="preserve">в действующих ценах согласно </w:t>
      </w:r>
      <w:r>
        <w:rPr>
          <w:spacing w:val="2"/>
          <w:sz w:val="28"/>
          <w:szCs w:val="28"/>
          <w:highlight w:val="white"/>
        </w:rPr>
        <w:t xml:space="preserve">оценке</w:t>
      </w:r>
      <w:r>
        <w:rPr>
          <w:spacing w:val="2"/>
          <w:sz w:val="28"/>
          <w:szCs w:val="28"/>
          <w:highlight w:val="white"/>
        </w:rPr>
        <w:t xml:space="preserve"> составит </w:t>
      </w:r>
      <w:r>
        <w:rPr>
          <w:spacing w:val="2"/>
          <w:sz w:val="28"/>
          <w:szCs w:val="28"/>
          <w:highlight w:val="white"/>
        </w:rPr>
        <w:t xml:space="preserve">353,9 </w:t>
      </w:r>
      <w:r>
        <w:rPr>
          <w:spacing w:val="2"/>
          <w:sz w:val="28"/>
          <w:szCs w:val="28"/>
          <w:highlight w:val="white"/>
        </w:rPr>
        <w:t xml:space="preserve">млрд рублей, что выше ранее прогнозируемого значения на 36,2 млрд рублей. </w:t>
      </w:r>
      <w:r>
        <w:rPr>
          <w:sz w:val="28"/>
          <w:highlight w:val="white"/>
        </w:rPr>
        <w:t xml:space="preserve">Значения </w:t>
      </w:r>
      <w:r>
        <w:rPr>
          <w:spacing w:val="2"/>
          <w:sz w:val="28"/>
          <w:szCs w:val="28"/>
          <w:highlight w:val="white"/>
        </w:rPr>
        <w:t xml:space="preserve">показателей на прогнозируемый период (2025</w:t>
      </w:r>
      <w:r>
        <w:rPr>
          <w:sz w:val="28"/>
          <w:highlight w:val="white"/>
        </w:rPr>
        <w:t xml:space="preserve">–</w:t>
      </w:r>
      <w:r>
        <w:rPr>
          <w:spacing w:val="2"/>
          <w:sz w:val="28"/>
          <w:szCs w:val="28"/>
          <w:highlight w:val="white"/>
        </w:rPr>
        <w:t xml:space="preserve">202</w:t>
      </w:r>
      <w:r>
        <w:rPr>
          <w:spacing w:val="2"/>
          <w:sz w:val="28"/>
          <w:szCs w:val="28"/>
          <w:highlight w:val="white"/>
        </w:rPr>
        <w:t xml:space="preserve">7</w:t>
      </w:r>
      <w:r>
        <w:rPr>
          <w:spacing w:val="2"/>
          <w:sz w:val="28"/>
          <w:szCs w:val="28"/>
          <w:highlight w:val="white"/>
        </w:rPr>
        <w:t xml:space="preserve"> годы) также скорректированы в сторону роста на </w:t>
      </w:r>
      <w:r>
        <w:rPr>
          <w:spacing w:val="2"/>
          <w:sz w:val="28"/>
          <w:szCs w:val="28"/>
          <w:highlight w:val="white"/>
        </w:rPr>
        <w:t xml:space="preserve">45,4</w:t>
      </w:r>
      <w:r>
        <w:rPr>
          <w:spacing w:val="2"/>
          <w:sz w:val="28"/>
          <w:szCs w:val="28"/>
          <w:highlight w:val="white"/>
        </w:rPr>
        <w:t xml:space="preserve">,</w:t>
      </w:r>
      <w:r>
        <w:rPr>
          <w:spacing w:val="2"/>
          <w:sz w:val="28"/>
          <w:szCs w:val="28"/>
          <w:highlight w:val="white"/>
        </w:rPr>
        <w:t xml:space="preserve"> 42,</w:t>
      </w:r>
      <w:r>
        <w:rPr>
          <w:spacing w:val="2"/>
          <w:sz w:val="28"/>
          <w:szCs w:val="28"/>
          <w:highlight w:val="white"/>
        </w:rPr>
        <w:t xml:space="preserve">8</w:t>
      </w:r>
      <w:r>
        <w:rPr>
          <w:spacing w:val="2"/>
          <w:sz w:val="28"/>
          <w:szCs w:val="28"/>
          <w:highlight w:val="white"/>
        </w:rPr>
        <w:t xml:space="preserve"> </w:t>
      </w:r>
      <w:r>
        <w:rPr>
          <w:spacing w:val="2"/>
          <w:sz w:val="28"/>
          <w:szCs w:val="28"/>
          <w:highlight w:val="white"/>
        </w:rPr>
        <w:t xml:space="preserve">и 53,1 </w:t>
      </w:r>
      <w:r>
        <w:rPr>
          <w:spacing w:val="2"/>
          <w:sz w:val="28"/>
          <w:szCs w:val="28"/>
          <w:highlight w:val="white"/>
        </w:rPr>
        <w:t xml:space="preserve">млрд рублей соответственно</w:t>
      </w:r>
      <w:r>
        <w:rPr>
          <w:spacing w:val="2"/>
          <w:sz w:val="28"/>
          <w:szCs w:val="28"/>
          <w:highlight w:val="white"/>
        </w:rPr>
        <w:t xml:space="preserve">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К концу прогнозируемого периода (2027 год) </w:t>
      </w:r>
      <w:r>
        <w:rPr>
          <w:sz w:val="28"/>
          <w:highlight w:val="white"/>
        </w:rPr>
        <w:t xml:space="preserve">объём отгруженных товаров собственного производства, выполненных работ и услуг</w:t>
      </w:r>
      <w:r>
        <w:rPr>
          <w:spacing w:val="2"/>
          <w:sz w:val="28"/>
          <w:szCs w:val="28"/>
          <w:highlight w:val="white"/>
        </w:rPr>
        <w:t xml:space="preserve"> достигнет практически 416,5 млрд рублей и </w:t>
      </w:r>
      <w:r>
        <w:rPr>
          <w:sz w:val="28"/>
          <w:szCs w:val="28"/>
          <w:highlight w:val="white"/>
        </w:rPr>
        <w:t xml:space="preserve">вырастет более чем в 1,2 раза по отношению к базовому 2023 году.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left="708"/>
        <w:spacing w:line="264" w:lineRule="auto"/>
        <w:tabs>
          <w:tab w:val="center" w:pos="993" w:leader="none"/>
          <w:tab w:val="left" w:pos="8205" w:leader="none"/>
        </w:tabs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.2. </w:t>
      </w:r>
      <w:r>
        <w:rPr>
          <w:spacing w:val="2"/>
          <w:sz w:val="28"/>
          <w:szCs w:val="28"/>
          <w:highlight w:val="white"/>
        </w:rPr>
        <w:t xml:space="preserve">Агропромышленны</w:t>
      </w:r>
      <w:r>
        <w:rPr>
          <w:spacing w:val="2"/>
          <w:sz w:val="28"/>
          <w:szCs w:val="28"/>
          <w:highlight w:val="white"/>
        </w:rPr>
        <w:t xml:space="preserve">й комплекс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highlight w:val="white"/>
        </w:rPr>
        <w:t xml:space="preserve">В 2023 году стоимость валовой продукции сельского хозяйства фактически составила </w:t>
      </w:r>
      <w:r>
        <w:rPr>
          <w:color w:val="000000"/>
          <w:sz w:val="28"/>
          <w:highlight w:val="white"/>
        </w:rPr>
        <w:t xml:space="preserve">9,5 </w:t>
      </w:r>
      <w:r>
        <w:rPr>
          <w:color w:val="000000"/>
          <w:sz w:val="28"/>
          <w:highlight w:val="white"/>
        </w:rPr>
        <w:t xml:space="preserve">млрд рублей, что ниже ранее прогнозируемого значения на </w:t>
      </w:r>
      <w:r>
        <w:rPr>
          <w:color w:val="000000"/>
          <w:sz w:val="28"/>
          <w:highlight w:val="white"/>
        </w:rPr>
        <w:t xml:space="preserve">       470,0 </w:t>
      </w:r>
      <w:r>
        <w:rPr>
          <w:color w:val="000000"/>
          <w:sz w:val="28"/>
          <w:highlight w:val="white"/>
        </w:rPr>
        <w:t xml:space="preserve">млн рублей. Основная причина уменьшения стоимости валовой продукции – снижение объёма производства зерновых культур и овощей</w:t>
      </w:r>
      <w:r>
        <w:rPr>
          <w:color w:val="000000"/>
          <w:sz w:val="28"/>
          <w:highlight w:val="white"/>
        </w:rPr>
        <w:t xml:space="preserve"> по причине неблагоприятных погодных условий (повышенная норма осадков). Планирование объёма производства зерновых в 2023 году осуществлялось на основании уровня объёма производства 2022 года, в котором по зерновым культурам достигнута высокая урожайность.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64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highlight w:val="white"/>
        </w:rPr>
        <w:t xml:space="preserve">Объёмы продукции сельского хозяйства на 2024–2027 годы в натуральном выражении не повыша</w:t>
      </w:r>
      <w:r>
        <w:rPr>
          <w:color w:val="000000"/>
          <w:sz w:val="28"/>
          <w:highlight w:val="white"/>
        </w:rPr>
        <w:t xml:space="preserve">ю</w:t>
      </w:r>
      <w:r>
        <w:rPr>
          <w:color w:val="000000"/>
          <w:sz w:val="28"/>
          <w:highlight w:val="white"/>
        </w:rPr>
        <w:t xml:space="preserve">тся. Корректировка объёма продукции сельского хозяйства в стоимостном выражении объясняется прогнозным ростом цен на продукцию в 2025-2027 годах.</w:t>
      </w:r>
      <w:r>
        <w:rPr>
          <w:highlight w:val="white"/>
        </w:rPr>
      </w:r>
      <w:r>
        <w:rPr>
          <w:highlight w:val="white"/>
        </w:rPr>
      </w:r>
    </w:p>
    <w:p>
      <w:pPr>
        <w:ind w:left="708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.3. </w:t>
      </w:r>
      <w:r>
        <w:rPr>
          <w:sz w:val="28"/>
          <w:szCs w:val="28"/>
          <w:highlight w:val="white"/>
        </w:rPr>
        <w:t xml:space="preserve">Транспортировка и хранение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Транспортная отрасль города Краснодара представлена 77 крупными и средними предприятиями всех видов транспорта, а также малыми автомобильными предприятиями и частными предпринимателями.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Транспортная инфраструктура имеет тесные взаимосвязи со всеми элементами экономики и социальной сферы города.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2023 году объём выполненных услуг по полному кругу предприятий отрасли в действующих ценах составил </w:t>
      </w:r>
      <w:r>
        <w:rPr>
          <w:spacing w:val="2"/>
          <w:sz w:val="28"/>
          <w:szCs w:val="28"/>
          <w:highlight w:val="white"/>
        </w:rPr>
        <w:t xml:space="preserve">83,9 </w:t>
      </w:r>
      <w:r>
        <w:rPr>
          <w:spacing w:val="2"/>
          <w:sz w:val="28"/>
          <w:szCs w:val="28"/>
          <w:highlight w:val="white"/>
        </w:rPr>
        <w:t xml:space="preserve">млрд рублей, или </w:t>
      </w:r>
      <w:r>
        <w:rPr>
          <w:spacing w:val="2"/>
          <w:sz w:val="28"/>
          <w:szCs w:val="28"/>
          <w:highlight w:val="white"/>
        </w:rPr>
        <w:t xml:space="preserve">112,1% </w:t>
      </w:r>
      <w:r>
        <w:rPr>
          <w:spacing w:val="2"/>
          <w:sz w:val="28"/>
          <w:szCs w:val="28"/>
          <w:highlight w:val="white"/>
        </w:rPr>
        <w:t xml:space="preserve">к уровню 2022 года, и </w:t>
      </w:r>
      <w:r>
        <w:rPr>
          <w:spacing w:val="2"/>
          <w:sz w:val="28"/>
          <w:szCs w:val="28"/>
          <w:highlight w:val="white"/>
        </w:rPr>
        <w:t xml:space="preserve">105,5</w:t>
      </w:r>
      <w:r>
        <w:rPr>
          <w:spacing w:val="2"/>
          <w:sz w:val="28"/>
          <w:szCs w:val="28"/>
          <w:highlight w:val="white"/>
        </w:rPr>
        <w:t xml:space="preserve">% к ранее планируемому значению.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2024 году ожидаемый объём выполненных услуг по полному кругу предприятий отрасли в действующих ценах </w:t>
      </w:r>
      <w:r>
        <w:rPr>
          <w:spacing w:val="2"/>
          <w:sz w:val="28"/>
          <w:szCs w:val="28"/>
          <w:highlight w:val="white"/>
        </w:rPr>
        <w:t xml:space="preserve">составит 91,3 </w:t>
      </w:r>
      <w:r>
        <w:rPr>
          <w:spacing w:val="2"/>
          <w:sz w:val="28"/>
          <w:szCs w:val="28"/>
          <w:highlight w:val="white"/>
        </w:rPr>
        <w:t xml:space="preserve">млрд рублей, или </w:t>
      </w:r>
      <w:r>
        <w:rPr>
          <w:spacing w:val="2"/>
          <w:sz w:val="28"/>
          <w:szCs w:val="28"/>
          <w:highlight w:val="white"/>
        </w:rPr>
        <w:t xml:space="preserve">108,9% </w:t>
      </w:r>
      <w:r>
        <w:rPr>
          <w:spacing w:val="2"/>
          <w:sz w:val="28"/>
          <w:szCs w:val="28"/>
          <w:highlight w:val="white"/>
        </w:rPr>
        <w:t xml:space="preserve">к уровню 2023 года, и </w:t>
      </w:r>
      <w:r>
        <w:rPr>
          <w:spacing w:val="2"/>
          <w:sz w:val="28"/>
          <w:szCs w:val="28"/>
          <w:highlight w:val="white"/>
        </w:rPr>
        <w:t xml:space="preserve">108,8% </w:t>
      </w:r>
      <w:r>
        <w:rPr>
          <w:spacing w:val="2"/>
          <w:sz w:val="28"/>
          <w:szCs w:val="28"/>
          <w:highlight w:val="white"/>
        </w:rPr>
        <w:t xml:space="preserve">к ранее прогнозируемому значению.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Причиной корректировки ранее прогнозируемых показателей в сторону увеличения являетс</w:t>
      </w:r>
      <w:r>
        <w:rPr>
          <w:sz w:val="28"/>
          <w:highlight w:val="white"/>
        </w:rPr>
        <w:t xml:space="preserve">я существенный рост объёма услуг по перевозкам и деятельности грузового автомобильного транспорта за счёт произошедшего в 2023 году восстановления рынка автоперевозок. Транспортная отрасль вместе с обрабатывающей промышленностью, АПК и строительством высту</w:t>
      </w:r>
      <w:r>
        <w:rPr>
          <w:sz w:val="28"/>
          <w:highlight w:val="white"/>
        </w:rPr>
        <w:t xml:space="preserve">пила одним из локомотивов в экономике. Вторая причина – смена маршрутов: вектор сместился на Восток, соответственно, расширилась география доставок. Кроме того, автомобильные перевозки становятся все более популярными благодаря их удобству и оперативности.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Так, в 2025 году объём услуг предприятий, занятых транспортировкой и хранением, составит почти </w:t>
      </w:r>
      <w:r>
        <w:rPr>
          <w:spacing w:val="2"/>
          <w:sz w:val="28"/>
          <w:szCs w:val="28"/>
          <w:highlight w:val="white"/>
        </w:rPr>
        <w:t xml:space="preserve">96,5 </w:t>
      </w:r>
      <w:r>
        <w:rPr>
          <w:spacing w:val="2"/>
          <w:sz w:val="28"/>
          <w:szCs w:val="28"/>
          <w:highlight w:val="white"/>
        </w:rPr>
        <w:t xml:space="preserve">млрд рублей, а к концу 2027 года возрастёт по отношению к базовому 2023 году </w:t>
      </w:r>
      <w:r>
        <w:rPr>
          <w:spacing w:val="2"/>
          <w:sz w:val="28"/>
          <w:szCs w:val="28"/>
          <w:highlight w:val="white"/>
        </w:rPr>
        <w:t xml:space="preserve">почти в 1,2 </w:t>
      </w:r>
      <w:r>
        <w:rPr>
          <w:spacing w:val="2"/>
          <w:sz w:val="28"/>
          <w:szCs w:val="28"/>
          <w:highlight w:val="white"/>
        </w:rPr>
        <w:t xml:space="preserve">раза и достигнет </w:t>
      </w:r>
      <w:r>
        <w:rPr>
          <w:spacing w:val="2"/>
          <w:sz w:val="28"/>
          <w:szCs w:val="28"/>
          <w:highlight w:val="white"/>
        </w:rPr>
        <w:t xml:space="preserve">104,7 </w:t>
      </w:r>
      <w:r>
        <w:rPr>
          <w:spacing w:val="2"/>
          <w:sz w:val="28"/>
          <w:szCs w:val="28"/>
          <w:highlight w:val="white"/>
        </w:rPr>
        <w:t xml:space="preserve">млрд рублей.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Ключевыми драйверами роста сегмента автомобильных грузоперевозок выступают следующие факторы: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переориентация грузовых потоков и </w:t>
      </w:r>
      <w:r>
        <w:rPr>
          <w:spacing w:val="2"/>
          <w:sz w:val="28"/>
          <w:szCs w:val="28"/>
          <w:highlight w:val="white"/>
        </w:rPr>
        <w:t xml:space="preserve">увеличение</w:t>
      </w:r>
      <w:bookmarkStart w:id="0" w:name="_GoBack"/>
      <w:r>
        <w:rPr>
          <w:highlight w:val="white"/>
        </w:rPr>
      </w:r>
      <w:bookmarkEnd w:id="0"/>
      <w:r>
        <w:rPr>
          <w:spacing w:val="2"/>
          <w:sz w:val="28"/>
          <w:szCs w:val="28"/>
          <w:highlight w:val="white"/>
        </w:rPr>
        <w:t xml:space="preserve"> расстояний </w:t>
      </w:r>
      <w:r>
        <w:rPr>
          <w:sz w:val="28"/>
          <w:highlight w:val="white"/>
        </w:rPr>
        <w:t xml:space="preserve">–</w:t>
      </w:r>
      <w:r>
        <w:rPr>
          <w:spacing w:val="2"/>
          <w:sz w:val="28"/>
          <w:szCs w:val="28"/>
          <w:highlight w:val="white"/>
        </w:rPr>
        <w:t xml:space="preserve"> рост спроса на Юге, в Сибири и на Дальнем Востоке;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pStyle w:val="927"/>
        <w:ind w:firstLine="709"/>
        <w:spacing w:line="264" w:lineRule="auto"/>
        <w:rPr>
          <w:spacing w:val="2"/>
          <w:szCs w:val="28"/>
          <w:highlight w:val="white"/>
        </w:rPr>
      </w:pPr>
      <w:r>
        <w:rPr>
          <w:spacing w:val="2"/>
          <w:szCs w:val="28"/>
          <w:highlight w:val="white"/>
          <w:lang w:val="ru-RU"/>
        </w:rPr>
        <w:t xml:space="preserve">продолжающееся развитие </w:t>
      </w:r>
      <w:r>
        <w:rPr>
          <w:highlight w:val="white"/>
          <w:lang w:val="ru-RU"/>
        </w:rPr>
        <w:t xml:space="preserve">электронной коммерции</w:t>
      </w:r>
      <w:r>
        <w:rPr>
          <w:spacing w:val="2"/>
          <w:szCs w:val="28"/>
          <w:highlight w:val="white"/>
          <w:lang w:val="ru-RU"/>
        </w:rPr>
        <w:t xml:space="preserve"> и розничных торговых сетей;</w:t>
      </w:r>
      <w:r>
        <w:rPr>
          <w:spacing w:val="2"/>
          <w:szCs w:val="28"/>
          <w:highlight w:val="white"/>
        </w:rPr>
      </w:r>
      <w:r>
        <w:rPr>
          <w:spacing w:val="2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стабилизация логистики комплектующих, нахождение оптимальных каналов поставок (большое количество комплектующих поставляют через Китай).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сокращение сроков доставки;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оптимизация бизнес-процессов и расширение географии доставок.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К сдерживающим факторам роста объёма услуг по перевозке и деятельности автомобильного грузового транспорта можно отнести: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сохраняющийся дефицит квалифицированных водителей;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повышение цен на грузовой транспорт, топливо, автозапчасти и обслуживание.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Развитию городского пассажирского транспорта будет способствовать: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интеграция перевозок автобусами, трамваями, троллейбусами и пригородными поездами в единую </w:t>
      </w:r>
      <w:r>
        <w:rPr>
          <w:sz w:val="28"/>
          <w:highlight w:val="white"/>
          <w:lang w:eastAsia="en-US"/>
        </w:rPr>
        <w:t xml:space="preserve">мультимодальную</w:t>
      </w:r>
      <w:r>
        <w:rPr>
          <w:sz w:val="28"/>
          <w:highlight w:val="white"/>
          <w:lang w:eastAsia="en-US"/>
        </w:rPr>
        <w:t xml:space="preserve"> сеть перевозок пассажиров;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развитие транспортной инфраструктуры для обеспечения регулярных перевозок;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приоритетное развитие городского электротранспорта на направлениях с высоким транспортным спросом;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повышение комфортабельности транспортных средств и доступности для маломобильных категорий населения.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Основными предполагаемыми факторами, которые могут в прогнозируемом периоде негативно отразиться на темпах развития грузовых перевозок железнодорожным транспортом, могут быть: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продолжение тенденции переноса грузов с </w:t>
      </w:r>
      <w:r>
        <w:rPr>
          <w:highlight w:val="white"/>
          <w:lang w:val="ru-RU"/>
        </w:rPr>
        <w:t xml:space="preserve">мультимодальных</w:t>
      </w:r>
      <w:r>
        <w:rPr>
          <w:highlight w:val="white"/>
          <w:lang w:val="ru-RU"/>
        </w:rPr>
        <w:t xml:space="preserve"> маршрутов на автомобильный транспорт из-за ухода международных операторов и высоких затрат на железнодорожные перевозки;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инфра</w:t>
      </w:r>
      <w:r>
        <w:rPr>
          <w:highlight w:val="white"/>
          <w:lang w:val="ru-RU"/>
        </w:rPr>
        <w:t xml:space="preserve">структурные ограничения: высокая загруженность, дефицит подвижного состава и низкая оборачиваемость вагонов, устаревшее локомотивное и путевое хозяйство, требующее значительных финансовых вложений на его ремонт и обновление при резком увеличении перевозок.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Снижению рисков будут способствовать: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расширение и усиление ремонтной базы локомотивов;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ремонты всех видов путевого хозяйства, в первую очередь ходовых путей и путей, по которым проходят маршруты с опасными грузами;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постоянное улучшение технического состояния имеющейся инфраструктуры.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К главным факторам и ограничениям роста объёмов услуг трубопроводного транспорта в прогнозируемом периоде можно отнести: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увеличение затрат на ремонты в связи с износом оборудования;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потерю выручки в связи с перебоями в трубопроводах;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изменение тарифов;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переход на альтернативные источники энергии;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введение ограничительных мер в отношении российских компаний;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риски невыполнения обязательств по транзиту при транспорте газа через территорию транзитных стран.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Минимизации риска снижения уровня поставок будет способствовать: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реализация комплекса мер, направленных как на создание новой инфраструктуры, так и на стимулирование спроса на газ как наиболее </w:t>
      </w:r>
      <w:r>
        <w:rPr>
          <w:highlight w:val="white"/>
          <w:lang w:val="ru-RU"/>
        </w:rPr>
        <w:t xml:space="preserve">экологичный</w:t>
      </w:r>
      <w:r>
        <w:rPr>
          <w:highlight w:val="white"/>
          <w:lang w:val="ru-RU"/>
        </w:rPr>
        <w:t xml:space="preserve"> из ископаемых энергоносителей и укрепление позиций в секторах, где возможны поставки дополнительных объёмов газа;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реализация политики обеспечения технологической независимости и </w:t>
      </w:r>
      <w:r>
        <w:rPr>
          <w:highlight w:val="white"/>
          <w:lang w:val="ru-RU"/>
        </w:rPr>
        <w:t xml:space="preserve">импортозамещения</w:t>
      </w:r>
      <w:r>
        <w:rPr>
          <w:highlight w:val="white"/>
          <w:lang w:val="ru-RU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реализация мероприятий по диверсификации экспортных маршрутов, расширению возможностей по доступу к подземным хранилищам газа;</w:t>
      </w:r>
      <w:r>
        <w:rPr>
          <w:highlight w:val="white"/>
        </w:rPr>
      </w:r>
      <w:r>
        <w:rPr>
          <w:highlight w:val="white"/>
        </w:rPr>
      </w:r>
    </w:p>
    <w:p>
      <w:pPr>
        <w:pStyle w:val="927"/>
        <w:ind w:firstLine="709"/>
        <w:spacing w:line="264" w:lineRule="auto"/>
        <w:rPr>
          <w:highlight w:val="white"/>
        </w:rPr>
      </w:pPr>
      <w:r>
        <w:rPr>
          <w:highlight w:val="white"/>
          <w:lang w:val="ru-RU"/>
        </w:rPr>
        <w:t xml:space="preserve">проведение диверсификации рынков и каналов сбыта энергоносителей, расширение области использования природного газа.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 возможным рискам, сдерживающим развитие авиаперевозок в прогнозируемом периоде, можно отнести: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продление ограничения на полёты из аэропорта Краснодара из-за макроэкономической и политической ситуации в стране и в мире;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увеличение себестоимости перелётов, обусловленное ростом стоимости горюче-смазочных материалов, обслуживания воздушных судов в аэропорту и аэронавигационного обслуживания;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проблемы с поддержанием лётной годности авиационной техники;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усиление конкуренции со стороны железнодорожного транспорта на некоторых маршрутах.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Снижению рисков в развитии воздушного транспорта будут способствовать: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дальнейшее развитие и модернизация авиационной инфраструктуры;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реализация программ </w:t>
      </w:r>
      <w:r>
        <w:rPr>
          <w:sz w:val="28"/>
          <w:highlight w:val="white"/>
        </w:rPr>
        <w:t xml:space="preserve">импортозамещения</w:t>
      </w:r>
      <w:r>
        <w:rPr>
          <w:sz w:val="28"/>
          <w:highlight w:val="white"/>
        </w:rPr>
        <w:t xml:space="preserve"> (активный рост доли отечественных материалов и комплектующих в составе российской авиационной продукции);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усиление роли вертолётной техники.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За 2022–2023 годы участники рынка адаптировались, приняли новые условия и правила работы, поэтому траекто</w:t>
      </w:r>
      <w:r>
        <w:rPr>
          <w:sz w:val="28"/>
          <w:highlight w:val="white"/>
        </w:rPr>
        <w:t xml:space="preserve">рия развития в прогнозируемом периоде будет определяться эффективной реализацией мер, направленных на развитие транспортно-логистических коридоров, формирование новых маршрутов и перечня сервисов, повышение качества и эффективности логистических процессов.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708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.4. </w:t>
      </w:r>
      <w:r>
        <w:rPr>
          <w:spacing w:val="2"/>
          <w:sz w:val="28"/>
          <w:szCs w:val="28"/>
          <w:highlight w:val="white"/>
        </w:rPr>
        <w:t xml:space="preserve">Потребительский рынок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Развитие потребите</w:t>
      </w:r>
      <w:r>
        <w:rPr>
          <w:sz w:val="28"/>
          <w:szCs w:val="28"/>
          <w:highlight w:val="white"/>
        </w:rPr>
        <w:t xml:space="preserve">льского рынка обеспечивается, с одной стороны, ростом розничных продаж, расширением торговой сети и изменением её структуры, а с другой, – созданием современных торговых предприятий, к новым форматам которых относятся торговые комплексы и торговые центры.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Проблемами развития отечественного потребительского рынка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обеспечение ценовой доступности товаров и услуг для малообеспеченных слоёв населения;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система размещения объектов потребительского рынка, которая не всегда отвечает потребностям населения;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введение международных экономических санкций, что привело к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сокращению объёмов импортируемой продукции и снижению объёмов продаж.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Для решения вышеуказанных задач необходимо принять и внедрить решения по следующим направлениям: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активное участие торговых предприятий в реализации социальной политики;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рационализация розничной сети и совершенствование её структуры, создание условий для развития малой розничной сети и магазинов, занимающихся продажей товаров народного потребления в жилых массивах;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увеличение доли товаров российского производства в объёмах продаж.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Во исполнение рекомендаций, содержащихся в распоряжении главы администрации (губернатора) Краснодарского края</w:t>
      </w:r>
      <w:r>
        <w:rPr>
          <w:sz w:val="28"/>
          <w:szCs w:val="28"/>
          <w:highlight w:val="white"/>
        </w:rPr>
        <w:t xml:space="preserve"> от 16.03.2022 № 39-р «О </w:t>
      </w:r>
      <w:r>
        <w:rPr>
          <w:sz w:val="28"/>
          <w:szCs w:val="28"/>
          <w:highlight w:val="white"/>
        </w:rPr>
        <w:t xml:space="preserve">стабилизации цен на отдельные виды </w:t>
      </w:r>
      <w:r>
        <w:rPr>
          <w:color w:val="000000"/>
          <w:sz w:val="28"/>
          <w:szCs w:val="28"/>
          <w:highlight w:val="white"/>
        </w:rPr>
        <w:t xml:space="preserve">социально значимых продуктов питания, товаров для детей и продукции детского питания в Краснодарском крае»</w:t>
      </w:r>
      <w:r>
        <w:rPr>
          <w:sz w:val="28"/>
          <w:szCs w:val="28"/>
          <w:highlight w:val="white"/>
        </w:rPr>
        <w:t xml:space="preserve">, и в</w:t>
      </w:r>
      <w:r>
        <w:rPr>
          <w:color w:val="000000"/>
          <w:sz w:val="28"/>
          <w:szCs w:val="28"/>
          <w:highlight w:val="white"/>
        </w:rPr>
        <w:t xml:space="preserve"> целях стабилизации цен на социально значимые продукты питания </w:t>
      </w:r>
      <w:r>
        <w:rPr>
          <w:sz w:val="28"/>
          <w:szCs w:val="28"/>
          <w:highlight w:val="white"/>
        </w:rPr>
        <w:t xml:space="preserve">проводится разъяснительная работа с руководителями предприятий торговли о бесперебойном обеспечении населения социально значимыми продуктами питания и о соблюдении </w:t>
      </w:r>
      <w:r>
        <w:rPr>
          <w:sz w:val="28"/>
          <w:szCs w:val="28"/>
          <w:highlight w:val="white"/>
        </w:rPr>
        <w:t xml:space="preserve">рекомендованной наценки (не выше 10%) на ряд социально значимых продуктов питания, товаров для детей и продукции детского питания. Особый вклад в развитие вносят развивающиеся и расширяющиеся дисконтные сети (например, «Магнит», «Пятёрочка»). Деятельность </w:t>
      </w:r>
      <w:r>
        <w:rPr>
          <w:sz w:val="28"/>
          <w:szCs w:val="28"/>
          <w:highlight w:val="white"/>
        </w:rPr>
        <w:t xml:space="preserve">дискаунтеров</w:t>
      </w:r>
      <w:r>
        <w:rPr>
          <w:sz w:val="28"/>
          <w:szCs w:val="28"/>
          <w:highlight w:val="white"/>
        </w:rPr>
        <w:t xml:space="preserve">, объединяющих несколько десятков и сотен магазинов, заключается в продаже продуктов питания и сопутствующих товаров по цен</w:t>
      </w:r>
      <w:r>
        <w:rPr>
          <w:sz w:val="28"/>
          <w:szCs w:val="28"/>
          <w:highlight w:val="white"/>
        </w:rPr>
        <w:t xml:space="preserve">ам ниже среднего уровня для более крупных товарных групп. Они широко внедряют и продвигают различные схемы лояльности клиентов (в виде дисконтных карт, программ, льготных цен и т.д.), особенно для привилегированных категорий граждан (пенсионеры, инвалиды).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Одним из наиболее значимых моментов развития розничной торговли можно считать качественное изменение её форматов: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возвращение популярности «магазина у дома». Такой формат является более привлекательным для покупателей, так как позволяет быстрее совершать покупки, и имеет узкую направленность, например, «Мясная лавка» или «Пекарня»;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постепенное увеличение доли продаж товаров под собственной торговой маркой, например, такие как «Морковь», «Гранат», «Фасоль» и др.;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активное развитие онлайн-торговли. </w:t>
      </w:r>
      <w:r>
        <w:rPr>
          <w:bCs/>
          <w:sz w:val="28"/>
          <w:szCs w:val="28"/>
          <w:highlight w:val="white"/>
        </w:rPr>
        <w:t xml:space="preserve">На территории Краснодара открыто более 1400 пунктов выдачи товаров, таких как «</w:t>
      </w:r>
      <w:r>
        <w:rPr>
          <w:bCs/>
          <w:sz w:val="28"/>
          <w:szCs w:val="28"/>
          <w:highlight w:val="white"/>
        </w:rPr>
        <w:t xml:space="preserve">Вайлдберриз</w:t>
      </w:r>
      <w:r>
        <w:rPr>
          <w:bCs/>
          <w:sz w:val="28"/>
          <w:szCs w:val="28"/>
          <w:highlight w:val="white"/>
        </w:rPr>
        <w:t xml:space="preserve">», «Озон», «Яндекс»,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ЛаМода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</w:t>
      </w:r>
      <w:r>
        <w:rPr>
          <w:bCs/>
          <w:sz w:val="28"/>
          <w:szCs w:val="28"/>
          <w:highlight w:val="white"/>
        </w:rPr>
        <w:t xml:space="preserve">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Улучшается </w:t>
      </w:r>
      <w:r>
        <w:rPr>
          <w:rFonts w:eastAsia="BatangChe"/>
          <w:sz w:val="28"/>
          <w:szCs w:val="28"/>
          <w:highlight w:val="white"/>
          <w:lang w:eastAsia="en-US"/>
        </w:rPr>
        <w:t xml:space="preserve">сервис экспресс-доставки товаров «Самокат», «Яндекс </w:t>
      </w:r>
      <w:r>
        <w:rPr>
          <w:rFonts w:eastAsia="BatangChe"/>
          <w:sz w:val="28"/>
          <w:szCs w:val="28"/>
          <w:highlight w:val="white"/>
          <w:lang w:eastAsia="en-US"/>
        </w:rPr>
        <w:t xml:space="preserve">Маркет</w:t>
      </w:r>
      <w:r>
        <w:rPr>
          <w:rFonts w:eastAsia="BatangChe"/>
          <w:sz w:val="28"/>
          <w:szCs w:val="28"/>
          <w:highlight w:val="white"/>
          <w:lang w:eastAsia="en-US"/>
        </w:rPr>
        <w:t xml:space="preserve">», </w:t>
      </w:r>
      <w:r>
        <w:rPr>
          <w:rFonts w:eastAsia="Tahoma"/>
          <w:color w:val="000000"/>
          <w:sz w:val="28"/>
          <w:szCs w:val="28"/>
          <w:highlight w:val="white"/>
          <w:lang w:eastAsia="en-US"/>
        </w:rPr>
        <w:t xml:space="preserve">развивается и расширяется сеть </w:t>
      </w:r>
      <w:r>
        <w:rPr>
          <w:rFonts w:eastAsia="BatangChe"/>
          <w:sz w:val="28"/>
          <w:szCs w:val="28"/>
          <w:highlight w:val="white"/>
          <w:lang w:eastAsia="en-US"/>
        </w:rPr>
        <w:t xml:space="preserve">дискаунтеров</w:t>
      </w:r>
      <w:r>
        <w:rPr>
          <w:rFonts w:eastAsia="BatangChe"/>
          <w:sz w:val="28"/>
          <w:szCs w:val="28"/>
          <w:highlight w:val="white"/>
          <w:lang w:eastAsia="en-US"/>
        </w:rPr>
        <w:t xml:space="preserve"> «Победа», «Чижик», продолжают динамичное развитие сеть парфюмерии и косметики «Золотое яблоко» и другие компании.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Основными торговыми объектами, вокруг которых формируются торговые комплексы и которы</w:t>
      </w:r>
      <w:r>
        <w:rPr>
          <w:sz w:val="28"/>
          <w:szCs w:val="28"/>
          <w:highlight w:val="white"/>
        </w:rPr>
        <w:t xml:space="preserve">е привлекают большинство покупателей, являются супермаркеты и гипермаркеты различной специализации. Обычно они представлены магазинами крупных торговых сетей (например, «Ашан», «Перекресток», «Детский мир», «Спортмастер», «Эльдорадо», «Снежная королева», «</w:t>
      </w:r>
      <w:r>
        <w:rPr>
          <w:sz w:val="28"/>
          <w:szCs w:val="28"/>
          <w:highlight w:val="white"/>
        </w:rPr>
        <w:t xml:space="preserve">Остин</w:t>
      </w:r>
      <w:r>
        <w:rPr>
          <w:sz w:val="28"/>
          <w:szCs w:val="28"/>
          <w:highlight w:val="white"/>
        </w:rPr>
        <w:t xml:space="preserve">» и т.д.).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Структурные изменени</w:t>
      </w:r>
      <w:r>
        <w:rPr>
          <w:sz w:val="28"/>
          <w:szCs w:val="28"/>
          <w:highlight w:val="white"/>
        </w:rPr>
        <w:t xml:space="preserve">я рынка ритейла, начавшиеся в 2022 году, привели к укреплению отечественных компаний и росту доли товаров российского производства в объёме продаж, данная тенденция продолжится и в прогнозируемом периоде.  Розничная торговля адаптировалась к новым рыночным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условиям. За 5 лет доля некоторых местных продуктов достигла 80% в сетевых магазинах.</w:t>
      </w:r>
      <w:r>
        <w:rPr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Несмотря на сложную экономическую ситуацию,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предприятия потребительской сферы функционируют и планомерно развиваются.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2023 года оборот розничной торговли составил </w:t>
      </w:r>
      <w:r>
        <w:rPr>
          <w:sz w:val="28"/>
          <w:szCs w:val="28"/>
          <w:highlight w:val="white"/>
        </w:rPr>
        <w:t xml:space="preserve">959,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млрд рублей, что на </w:t>
      </w:r>
      <w:r>
        <w:rPr>
          <w:sz w:val="28"/>
          <w:szCs w:val="28"/>
          <w:highlight w:val="white"/>
        </w:rPr>
        <w:t xml:space="preserve">44,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млрд рублей превышает ранее прогнозируемое значение – </w:t>
      </w:r>
      <w:r>
        <w:rPr>
          <w:sz w:val="28"/>
          <w:szCs w:val="28"/>
          <w:highlight w:val="white"/>
        </w:rPr>
        <w:t xml:space="preserve">914,4 </w:t>
      </w:r>
      <w:r>
        <w:rPr>
          <w:sz w:val="28"/>
          <w:szCs w:val="28"/>
          <w:highlight w:val="white"/>
        </w:rPr>
        <w:t xml:space="preserve">млрд рублей. Превышение фактического значения над плановым связано со значительным уточнением оборота розничной торговли по предприятиям малого предпринимательств</w:t>
      </w:r>
      <w:r>
        <w:rPr>
          <w:sz w:val="28"/>
          <w:szCs w:val="28"/>
          <w:highlight w:val="white"/>
        </w:rPr>
        <w:t xml:space="preserve">а. Управлением Федеральной службы государственной статистики по Краснодарскому краю и Республике Адыгея за 2023 год оперативные данные розничного оборота по субъектам малого предпринимательства были скорректированы в сторону увеличения на 63,0 млрд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4"/>
        <w:ind w:firstLine="851"/>
        <w:jc w:val="both"/>
        <w:spacing w:before="0" w:after="0" w:line="264" w:lineRule="auto"/>
        <w:shd w:val="clear" w:color="auto" w:fill="ffffff"/>
        <w:rPr>
          <w:rFonts w:ascii="Times New Roman" w:hAnsi="Times New Roman"/>
          <w:b w:val="0"/>
          <w:bCs w:val="0"/>
          <w:i w:val="0"/>
          <w:iCs w:val="0"/>
          <w:highlight w:val="white"/>
        </w:rPr>
      </w:pPr>
      <w:r>
        <w:rPr>
          <w:rFonts w:ascii="Times New Roman" w:hAnsi="Times New Roman"/>
          <w:b w:val="0"/>
          <w:bCs w:val="0"/>
          <w:i w:val="0"/>
          <w:iCs w:val="0"/>
          <w:highlight w:val="white"/>
        </w:rPr>
        <w:t xml:space="preserve">Активное восстановление потребительского спроса сп</w:t>
      </w:r>
      <w:r>
        <w:rPr>
          <w:rFonts w:ascii="Times New Roman" w:hAnsi="Times New Roman"/>
          <w:b w:val="0"/>
          <w:bCs w:val="0"/>
          <w:i w:val="0"/>
          <w:iCs w:val="0"/>
          <w:highlight w:val="white"/>
        </w:rPr>
        <w:t xml:space="preserve">особствовало росту регистрации малых предприятий в сфере торговли.  По итогам 2023 года число предприятий МСП в сфере розничной торговли по сравнению с 2022 годом выросло на 1,8 тысяч единиц. По мнению департамента потребительской сферы и регулирования рын</w:t>
      </w:r>
      <w:r>
        <w:rPr>
          <w:rFonts w:ascii="Times New Roman" w:hAnsi="Times New Roman"/>
          <w:b w:val="0"/>
          <w:bCs w:val="0"/>
          <w:i w:val="0"/>
          <w:iCs w:val="0"/>
          <w:highlight w:val="white"/>
        </w:rPr>
        <w:t xml:space="preserve">ка алкоголя Краснодарского края, тенденция увеличения розничного оборота данной группой предприятий сохранится и в прогнозируемом периоде. В связи с чем, ранее планируемые значения по городу Краснодару были значительно скорректированы в сторону увеличения.</w:t>
      </w:r>
      <w:r>
        <w:rPr>
          <w:rFonts w:ascii="Times New Roman" w:hAnsi="Times New Roman"/>
          <w:b w:val="0"/>
          <w:bCs w:val="0"/>
          <w:i w:val="0"/>
          <w:iCs w:val="0"/>
          <w:highlight w:val="white"/>
        </w:rPr>
      </w:r>
      <w:r>
        <w:rPr>
          <w:rFonts w:ascii="Times New Roman" w:hAnsi="Times New Roman"/>
          <w:b w:val="0"/>
          <w:bCs w:val="0"/>
          <w:i w:val="0"/>
          <w:iCs w:val="0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Индустрия общественного питания является перспективным и быстроразвивающимся направлением и одной из наиболее популярных ниш потребительского рынка.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Введение санкций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привело к резкому разрыву логистических и производственных цепочек и уходу с рынка зарубежных поставщиков продуктов,</w:t>
      </w:r>
      <w:r>
        <w:rPr>
          <w:sz w:val="28"/>
          <w:szCs w:val="28"/>
          <w:highlight w:val="white"/>
        </w:rPr>
        <w:t xml:space="preserve"> приостановлению деятельности отдельных предприятий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McDonalds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Starbucks</w:t>
      </w:r>
      <w:r>
        <w:rPr>
          <w:sz w:val="28"/>
          <w:szCs w:val="28"/>
          <w:highlight w:val="white"/>
        </w:rPr>
        <w:t xml:space="preserve"> и другие).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этих условиях существенно выросла себестоимость и снизилась рентабельность в отрасли, что </w:t>
      </w:r>
      <w:r>
        <w:rPr>
          <w:sz w:val="28"/>
          <w:szCs w:val="28"/>
          <w:highlight w:val="white"/>
        </w:rPr>
        <w:t xml:space="preserve">привело к замедлению темпов роста, а затем и к отрицательной динамике оборота общественного питания в 2022 году.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ответ на инфляционное давление и сокращ</w:t>
      </w:r>
      <w:r>
        <w:rPr>
          <w:sz w:val="28"/>
          <w:szCs w:val="28"/>
          <w:highlight w:val="white"/>
        </w:rPr>
        <w:t xml:space="preserve">ение рентабельности во всех рыночных сегментах предпринимались различные меры по повышению операционной эффективности. Меры включали пересмотр поставщиков и ингредиентов (некоторые предприятия сделали акцент на блюда из локальных продуктов), централизацию </w:t>
      </w:r>
      <w:r>
        <w:rPr>
          <w:sz w:val="28"/>
          <w:szCs w:val="28"/>
          <w:highlight w:val="white"/>
        </w:rPr>
        <w:t xml:space="preserve">производства по части ассортимента, упрощение рецептуры блюд, переход на электронные меню (с целью экономии бумаги и возможности частого пересмотра ассортимента и цен), переговоры с арендаторами о скидках и рассрочках, организацию совместных закупок и т.п.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rFonts w:hint="eastAsia"/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редприятия общепита продолжат фокусироваться на повышении операционной эффективности. Например, централизовать закупки ингредиентов, внедрять инструменты для контроля эффективности расходов на маркетинг, а также оптимизировать расходы за сч</w:t>
      </w:r>
      <w:r>
        <w:rPr>
          <w:sz w:val="28"/>
          <w:szCs w:val="28"/>
          <w:highlight w:val="white"/>
        </w:rPr>
        <w:t xml:space="preserve">ё</w:t>
      </w:r>
      <w:r>
        <w:rPr>
          <w:sz w:val="28"/>
          <w:szCs w:val="28"/>
          <w:highlight w:val="white"/>
        </w:rPr>
        <w:t xml:space="preserve">т внедрения заказов через мобильные приложения</w:t>
      </w:r>
      <w:r>
        <w:rPr>
          <w:rFonts w:ascii="MADE Evolve Sans" w:hAnsi="MADE Evolve Sans"/>
          <w:color w:val="242628"/>
          <w:sz w:val="27"/>
          <w:szCs w:val="27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2023 года, как и планировалось оборот общественного питания вышел на положительную динамику. Фактическое значение показателя составило 38,9 млрд рублей, что практически соответствует оценке – 38,0 млрд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2024 года прогнозируемые показатели скорректированы в сторону увеличения в связи с уточнением территории фактического осуществления деятельности одним из крупных предприятий отрасли.</w:t>
      </w:r>
      <w:r>
        <w:rPr>
          <w:sz w:val="28"/>
          <w:szCs w:val="28"/>
          <w:highlight w:val="white"/>
        </w:rPr>
        <w:t xml:space="preserve"> 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left="708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.5. </w:t>
      </w:r>
      <w:r>
        <w:rPr>
          <w:spacing w:val="2"/>
          <w:sz w:val="28"/>
          <w:szCs w:val="28"/>
          <w:highlight w:val="white"/>
        </w:rPr>
        <w:t xml:space="preserve">Инвестиции, строительство, ввод жилья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Несмотря на сложную экономическую ситуацию, объём и</w:t>
      </w:r>
      <w:r>
        <w:rPr>
          <w:sz w:val="28"/>
          <w:szCs w:val="28"/>
          <w:highlight w:val="white"/>
        </w:rPr>
        <w:t xml:space="preserve">нв</w:t>
      </w:r>
      <w:r>
        <w:rPr>
          <w:sz w:val="28"/>
          <w:szCs w:val="28"/>
          <w:highlight w:val="white"/>
        </w:rPr>
        <w:t xml:space="preserve">естиций в основной капитал сохраняет положительную динамику. Следует отметить, что доля бюджетных инвестиций увеличилась с 39,1 млрд рублей в 2020 году до   69,1 млрд рублей в 2023 году, или в 1,7 раза, что способствовало положительной динамике показателя.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объём инвестиций в основной капитал составил </w:t>
      </w:r>
      <w:r>
        <w:rPr>
          <w:sz w:val="28"/>
          <w:szCs w:val="28"/>
          <w:highlight w:val="white"/>
        </w:rPr>
        <w:t xml:space="preserve">249,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млрд рублей, что выше ранее прогнозируемого значения на </w:t>
      </w:r>
      <w:r>
        <w:rPr>
          <w:sz w:val="28"/>
          <w:szCs w:val="28"/>
          <w:highlight w:val="white"/>
        </w:rPr>
        <w:t xml:space="preserve">32,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млрд рублей. Отклонение показателя от ранее прогнозируемого значения связано со значительными объ</w:t>
      </w:r>
      <w:r>
        <w:rPr>
          <w:sz w:val="28"/>
          <w:szCs w:val="28"/>
          <w:highlight w:val="white"/>
        </w:rPr>
        <w:t xml:space="preserve">ё</w:t>
      </w:r>
      <w:r>
        <w:rPr>
          <w:sz w:val="28"/>
          <w:szCs w:val="28"/>
          <w:highlight w:val="white"/>
        </w:rPr>
        <w:t xml:space="preserve">мами инвестиций крупных предприятий, занятых транспортировкой - увел</w:t>
      </w:r>
      <w:r>
        <w:rPr>
          <w:sz w:val="28"/>
          <w:szCs w:val="28"/>
          <w:highlight w:val="white"/>
        </w:rPr>
        <w:t xml:space="preserve">ичение объё</w:t>
      </w:r>
      <w:r>
        <w:rPr>
          <w:sz w:val="28"/>
          <w:szCs w:val="28"/>
          <w:highlight w:val="white"/>
        </w:rPr>
        <w:t xml:space="preserve">мов инвестиций по разделу Н «Транспортировка и хранение» по сравнению с 2022</w:t>
      </w:r>
      <w:r>
        <w:rPr>
          <w:sz w:val="28"/>
          <w:szCs w:val="28"/>
          <w:highlight w:val="white"/>
        </w:rPr>
        <w:t xml:space="preserve"> годом на</w:t>
      </w:r>
      <w:r>
        <w:rPr>
          <w:sz w:val="28"/>
          <w:szCs w:val="28"/>
          <w:highlight w:val="white"/>
        </w:rPr>
        <w:t xml:space="preserve"> 17,0 млрд рублей, или в 3,1 раза в сопоставимых ценах; ремонтом и содержанием дорог – увеличение объемов по разделу О «Государственное управление и обеспечение военной безопасности; социальное обеспечение» на 6,4 млрд рублей, или          1,1 раза; в розн</w:t>
      </w:r>
      <w:r>
        <w:rPr>
          <w:sz w:val="28"/>
          <w:szCs w:val="28"/>
          <w:highlight w:val="white"/>
        </w:rPr>
        <w:t xml:space="preserve">ичной торговле – увеличение объё</w:t>
      </w:r>
      <w:r>
        <w:rPr>
          <w:sz w:val="28"/>
          <w:szCs w:val="28"/>
          <w:highlight w:val="white"/>
        </w:rPr>
        <w:t xml:space="preserve">мов по разделу G «Торговля оптовая и розничная; ремонт автотранспортных средств и мотоциклов» на          6,4 млрд, руб., или в 1,1 раза. Крупные предприятия, относящиеся к перечисленным видам экономической деятельности, не предст</w:t>
      </w:r>
      <w:r>
        <w:rPr>
          <w:sz w:val="28"/>
          <w:szCs w:val="28"/>
          <w:highlight w:val="white"/>
        </w:rPr>
        <w:t xml:space="preserve">авляют прогнозные данные об объё</w:t>
      </w:r>
      <w:r>
        <w:rPr>
          <w:sz w:val="28"/>
          <w:szCs w:val="28"/>
          <w:highlight w:val="white"/>
        </w:rPr>
        <w:t xml:space="preserve">мах инвестиций в основной капитал.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уч</w:t>
      </w:r>
      <w:r>
        <w:rPr>
          <w:sz w:val="28"/>
          <w:szCs w:val="28"/>
          <w:highlight w:val="white"/>
        </w:rPr>
        <w:t xml:space="preserve">ё</w:t>
      </w:r>
      <w:r>
        <w:rPr>
          <w:sz w:val="28"/>
          <w:szCs w:val="28"/>
          <w:highlight w:val="white"/>
        </w:rPr>
        <w:t xml:space="preserve">том складывающихся тенденций показатель скорректирован в сторону увеличения до 2027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Строительная отрасль является 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ажным макросектором экономики го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рода.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К сдерживающим факторам её развития можно отнести: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з</w:t>
      </w:r>
      <w:r>
        <w:rPr>
          <w:sz w:val="28"/>
          <w:szCs w:val="28"/>
          <w:highlight w:val="white"/>
        </w:rPr>
        <w:t xml:space="preserve">начительное повышение процентных ставок на коммерческое кредитование и ипотеку;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сохраняющийся недостаток квалифицированных специалистов;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едостаточная заинтересованность строительных организаций во внедрении цифровых технологий.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Продолжают оказывать негативное влияние и ряд факторов, связанных с введением санкций: повышение стоимости материалов и оборудования, логистические проблемы.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Основной путь решения проблемы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— это использование местных строительных материалов, импортозамещение ввозимых в Россию отдельных компонентов, рост производительности</w:t>
      </w:r>
      <w:r>
        <w:rPr>
          <w:rFonts w:eastAsia="Calibri"/>
          <w:color w:val="222222"/>
          <w:sz w:val="28"/>
          <w:szCs w:val="28"/>
          <w:highlight w:val="white"/>
          <w:shd w:val="clear" w:color="auto" w:fill="f7f7f7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труда и цифровизация отрасли.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Министерство строительства и жилищно-коммунального хозяйства Российской Федерации в 2024 году поставило перед собой задачу улучшить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настроить все аспекты цифровой сферы в строительном комплексе России, а также перейти на отечественное программное обеспечение для укрепления технологического суверенитета страны. Так, благодаря 3D моделированию, все противоречия могут быть обнаружены ещ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ё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на этапе проектирования, что позволит строить качественно и в срок. 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851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Существенную роль в развитии строительной отрасли будет играть государство, выступая крупным инвестором по запуску новых инфраструктурных проектов - строительство дорог, социальных объектов и т.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Несмотря на сложности, строительная отрасль города Краснодара сохраняет положительную динамику.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По итогам 2023 года объём работ, выполненных по виду деятельности «строительство», составил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134,8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млрд рублей при ранее прогнозируемом значении –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119,9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млрд рублей, или на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14,9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млрд рублей больше. Отклонение показателя от ранее прогнозируемого значения связано с отражением по группе «крупные и с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редние» предприятия годовых объё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ов строительными организациями, ранее не сдававшими отчетность по городу Краснодару. В итоге оперативные данные за 2023 год были уточнены на 20,6 млрд рублей. Данная корректировка привела к увеличению значения показателя и на прогнозируемый период в целом.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Положительная динамика объ</w:t>
      </w:r>
      <w:r>
        <w:rPr>
          <w:sz w:val="28"/>
          <w:szCs w:val="28"/>
          <w:highlight w:val="white"/>
        </w:rPr>
        <w:t xml:space="preserve">ё</w:t>
      </w:r>
      <w:r>
        <w:rPr>
          <w:sz w:val="28"/>
          <w:szCs w:val="28"/>
          <w:highlight w:val="white"/>
        </w:rPr>
        <w:t xml:space="preserve">мов работ по виду деятельности</w:t>
      </w:r>
      <w:r>
        <w:rPr>
          <w:sz w:val="28"/>
          <w:szCs w:val="28"/>
          <w:highlight w:val="white"/>
        </w:rPr>
        <w:t xml:space="preserve"> «строительство» в прогнозируемом периоде 2025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2027 годы будет обусловлена реализацией инвестиционных проектов в части строительства транспортной, коммунальной инфраструктуры, коммерческих и промышленных объектов, объектов социальной сферы и конечно жилья.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2023 года введено в эксплуатацию </w:t>
      </w:r>
      <w:r>
        <w:rPr>
          <w:sz w:val="28"/>
          <w:szCs w:val="28"/>
          <w:highlight w:val="white"/>
        </w:rPr>
        <w:t xml:space="preserve">3284,8 тыс</w:t>
      </w:r>
      <w:r>
        <w:rPr>
          <w:sz w:val="28"/>
          <w:szCs w:val="28"/>
          <w:highlight w:val="white"/>
        </w:rPr>
        <w:t xml:space="preserve">. кв. м жилья, что на </w:t>
      </w:r>
      <w:r>
        <w:rPr>
          <w:sz w:val="28"/>
          <w:szCs w:val="28"/>
          <w:highlight w:val="white"/>
        </w:rPr>
        <w:t xml:space="preserve">234,8 </w:t>
      </w:r>
      <w:r>
        <w:rPr>
          <w:sz w:val="28"/>
          <w:szCs w:val="28"/>
          <w:highlight w:val="white"/>
        </w:rPr>
        <w:t xml:space="preserve">тыс. кв. м больше ранее прогнозируемого значения. Разница связана с тем, что вводились объект</w:t>
      </w:r>
      <w:r>
        <w:rPr>
          <w:sz w:val="28"/>
          <w:szCs w:val="28"/>
          <w:highlight w:val="white"/>
        </w:rPr>
        <w:t xml:space="preserve">ы,</w:t>
      </w:r>
      <w:r>
        <w:rPr>
          <w:sz w:val="28"/>
          <w:szCs w:val="28"/>
          <w:highlight w:val="white"/>
        </w:rPr>
        <w:t xml:space="preserve"> строительство которых началось два-три года назад, кроме того, жилые дома вводились в эксплуатацию раньше установленного в разрешительных документах срока ввода. Данная тенденция сохранится и в   2024 году, в связи с чем планируется ввести в эксплуатацию </w:t>
      </w:r>
      <w:r>
        <w:rPr>
          <w:sz w:val="28"/>
          <w:szCs w:val="28"/>
          <w:highlight w:val="white"/>
        </w:rPr>
        <w:t xml:space="preserve">3288 т</w:t>
      </w:r>
      <w:r>
        <w:rPr>
          <w:sz w:val="28"/>
          <w:szCs w:val="28"/>
          <w:highlight w:val="white"/>
        </w:rPr>
        <w:t xml:space="preserve">ыс. кв. м </w:t>
      </w:r>
      <w:r>
        <w:rPr>
          <w:rFonts w:ascii="Calibri" w:hAnsi="Calibri" w:eastAsia="Calibri"/>
          <w:sz w:val="22"/>
          <w:szCs w:val="22"/>
          <w:highlight w:val="white"/>
          <w:lang w:eastAsia="en-US"/>
        </w:rPr>
        <w:t xml:space="preserve">  </w:t>
      </w:r>
      <w:r>
        <w:rPr>
          <w:sz w:val="28"/>
          <w:szCs w:val="28"/>
          <w:highlight w:val="white"/>
        </w:rPr>
        <w:t xml:space="preserve">жилья, или на </w:t>
      </w:r>
      <w:r>
        <w:rPr>
          <w:sz w:val="28"/>
          <w:szCs w:val="28"/>
          <w:highlight w:val="white"/>
        </w:rPr>
        <w:t xml:space="preserve">388 т</w:t>
      </w:r>
      <w:r>
        <w:rPr>
          <w:sz w:val="28"/>
          <w:szCs w:val="28"/>
          <w:highlight w:val="white"/>
        </w:rPr>
        <w:t xml:space="preserve">ыс. кв. м больше ранее прогнозируемого значения.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.6. </w:t>
      </w:r>
      <w:r>
        <w:rPr>
          <w:sz w:val="28"/>
          <w:szCs w:val="28"/>
          <w:highlight w:val="white"/>
        </w:rPr>
        <w:t xml:space="preserve">Доходы предприятий курортно-туристского комплекса (с учётом доходов малых предприятий и физических лиц)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Доходы предприятий курортно-туристского комплекса по итогам 2023 года составили </w:t>
      </w:r>
      <w:r>
        <w:rPr>
          <w:sz w:val="28"/>
          <w:szCs w:val="28"/>
          <w:highlight w:val="white"/>
        </w:rPr>
        <w:t xml:space="preserve">5,5 млрд </w:t>
      </w:r>
      <w:r>
        <w:rPr>
          <w:sz w:val="28"/>
          <w:szCs w:val="28"/>
          <w:highlight w:val="white"/>
        </w:rPr>
        <w:t xml:space="preserve">рублей, что на </w:t>
      </w:r>
      <w:r>
        <w:rPr>
          <w:sz w:val="28"/>
          <w:szCs w:val="28"/>
          <w:highlight w:val="white"/>
        </w:rPr>
        <w:t xml:space="preserve">527,8</w:t>
      </w:r>
      <w:r>
        <w:rPr>
          <w:sz w:val="28"/>
          <w:szCs w:val="28"/>
          <w:highlight w:val="white"/>
        </w:rPr>
        <w:t xml:space="preserve"> млн рублей, или на </w:t>
      </w:r>
      <w:r>
        <w:rPr>
          <w:sz w:val="28"/>
          <w:szCs w:val="28"/>
          <w:highlight w:val="white"/>
        </w:rPr>
        <w:t xml:space="preserve">10,7% </w:t>
      </w:r>
      <w:r>
        <w:rPr>
          <w:sz w:val="28"/>
          <w:szCs w:val="28"/>
          <w:highlight w:val="white"/>
        </w:rPr>
        <w:t xml:space="preserve">выше </w:t>
      </w:r>
      <w:r>
        <w:rPr>
          <w:sz w:val="28"/>
          <w:szCs w:val="28"/>
          <w:highlight w:val="white"/>
        </w:rPr>
        <w:t xml:space="preserve">ранее прогнозируемого значения. </w:t>
      </w:r>
      <w:r>
        <w:rPr>
          <w:sz w:val="28"/>
          <w:szCs w:val="28"/>
          <w:highlight w:val="white"/>
          <w:lang w:eastAsia="en-US"/>
        </w:rPr>
        <w:t xml:space="preserve">Рост суммы доходов в 2023 году повлиял на уточнение ранее прогнозируемых значений на 2024</w:t>
      </w:r>
      <w:r>
        <w:rPr>
          <w:sz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  <w:lang w:eastAsia="en-US"/>
        </w:rPr>
        <w:t xml:space="preserve">202</w:t>
      </w:r>
      <w:r>
        <w:rPr>
          <w:sz w:val="28"/>
          <w:szCs w:val="28"/>
          <w:highlight w:val="white"/>
          <w:lang w:eastAsia="en-US"/>
        </w:rPr>
        <w:t xml:space="preserve">7</w:t>
      </w:r>
      <w:r>
        <w:rPr>
          <w:sz w:val="28"/>
          <w:szCs w:val="28"/>
          <w:highlight w:val="white"/>
          <w:lang w:eastAsia="en-US"/>
        </w:rPr>
        <w:t xml:space="preserve"> годы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рискам развития курортно-туристского комплекса следует отнести следующие факторы: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отсутствие необходимых объёмов финансирования на развитие туризма и обновление туристской инфраструктуры;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уменьшение туристского потока из-за ограничения транспортной доступности (закрытие аэропорта);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целью дальнейшего развития туристского комплекса города в прогнозируемом периоде необходимо: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увеличить количество туристских маршрутов, зелёных пешеходных зон, развлекательных, спортивных, культурных и прочих учреждений;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повысить транспортную доступность объектов туризма;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сотрудничество с национальными </w:t>
      </w:r>
      <w:r>
        <w:rPr>
          <w:sz w:val="28"/>
          <w:szCs w:val="28"/>
          <w:highlight w:val="white"/>
        </w:rPr>
        <w:t xml:space="preserve">турпредставительствами</w:t>
      </w:r>
      <w:r>
        <w:rPr>
          <w:sz w:val="28"/>
          <w:szCs w:val="28"/>
          <w:highlight w:val="white"/>
        </w:rPr>
        <w:t xml:space="preserve"> дружественных и нейтральных стран и национальными курортными ассоциациями с целью включения регионального турпродукта в списки их предложений.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.7. </w:t>
      </w:r>
      <w:r>
        <w:rPr>
          <w:sz w:val="28"/>
          <w:szCs w:val="28"/>
          <w:highlight w:val="white"/>
        </w:rPr>
        <w:t xml:space="preserve">Прибыль прибыльных предприятий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итогам 2023 года прибыль прибыльных предприятий составила </w:t>
      </w:r>
      <w:r>
        <w:rPr>
          <w:sz w:val="28"/>
          <w:szCs w:val="28"/>
          <w:highlight w:val="white"/>
        </w:rPr>
        <w:t xml:space="preserve">       638,0 </w:t>
      </w:r>
      <w:r>
        <w:rPr>
          <w:sz w:val="28"/>
          <w:szCs w:val="28"/>
          <w:highlight w:val="white"/>
        </w:rPr>
        <w:t xml:space="preserve">млрд рублей, что выше ранее планируемого значения на </w:t>
      </w:r>
      <w:r>
        <w:rPr>
          <w:sz w:val="28"/>
          <w:szCs w:val="28"/>
          <w:highlight w:val="white"/>
        </w:rPr>
        <w:t xml:space="preserve">251,4 </w:t>
      </w:r>
      <w:r>
        <w:rPr>
          <w:sz w:val="28"/>
          <w:szCs w:val="28"/>
          <w:highlight w:val="white"/>
        </w:rPr>
        <w:t xml:space="preserve">млрд рублей, или </w:t>
      </w:r>
      <w:r>
        <w:rPr>
          <w:sz w:val="28"/>
          <w:szCs w:val="28"/>
          <w:highlight w:val="white"/>
        </w:rPr>
        <w:t xml:space="preserve">в 1,7 раза</w:t>
      </w:r>
      <w:r>
        <w:rPr>
          <w:sz w:val="28"/>
          <w:szCs w:val="28"/>
          <w:highlight w:val="white"/>
        </w:rPr>
        <w:t xml:space="preserve">. Наибольший рост прибыли отмечается у </w:t>
      </w:r>
      <w:r>
        <w:rPr>
          <w:sz w:val="28"/>
          <w:szCs w:val="28"/>
          <w:highlight w:val="white"/>
        </w:rPr>
        <w:t xml:space="preserve">предприятий прочих видов деятельности, в том числе занятых в финансовой и страховой сфере, предприятий, осуществляющих деятельность по операциям с недвижимым имуществом. Так же значительно улучшили финансовые показатели предприятия строительного комплекса.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line="264" w:lineRule="auto"/>
        <w:tabs>
          <w:tab w:val="left" w:pos="86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2024 году </w:t>
      </w:r>
      <w:r>
        <w:rPr>
          <w:sz w:val="28"/>
          <w:szCs w:val="28"/>
          <w:highlight w:val="white"/>
        </w:rPr>
        <w:t xml:space="preserve">отмечается снижение прибыли (на </w:t>
      </w:r>
      <w:r>
        <w:rPr>
          <w:sz w:val="28"/>
          <w:szCs w:val="28"/>
          <w:highlight w:val="white"/>
        </w:rPr>
        <w:t xml:space="preserve">37,8%) </w:t>
      </w:r>
      <w:r>
        <w:rPr>
          <w:sz w:val="28"/>
          <w:szCs w:val="28"/>
          <w:highlight w:val="white"/>
        </w:rPr>
        <w:t xml:space="preserve">у предприятий прочих видов деятельности, что объясняется завышенной базой 2023 года (проведение </w:t>
      </w:r>
      <w:r>
        <w:rPr>
          <w:sz w:val="28"/>
          <w:szCs w:val="28"/>
          <w:highlight w:val="white"/>
        </w:rPr>
        <w:t xml:space="preserve">крупной </w:t>
      </w:r>
      <w:r>
        <w:rPr>
          <w:sz w:val="28"/>
          <w:szCs w:val="28"/>
          <w:highlight w:val="white"/>
        </w:rPr>
        <w:t xml:space="preserve">сделки по выкупу акций). </w:t>
      </w:r>
      <w:r>
        <w:rPr>
          <w:sz w:val="28"/>
          <w:highlight w:val="white"/>
        </w:rPr>
        <w:t xml:space="preserve">В результате сокращения положительного финансового результат предприятий прочих видов деятельности прибыль прибыльных предприятий краевого центра в 2024 году снизится на </w:t>
      </w:r>
      <w:r>
        <w:rPr>
          <w:sz w:val="28"/>
          <w:highlight w:val="white"/>
        </w:rPr>
        <w:t xml:space="preserve">15,6</w:t>
      </w:r>
      <w:r>
        <w:rPr>
          <w:sz w:val="28"/>
          <w:highlight w:val="white"/>
        </w:rPr>
        <w:t xml:space="preserve">%</w:t>
      </w:r>
      <w:r>
        <w:rPr>
          <w:sz w:val="28"/>
          <w:highlight w:val="white"/>
        </w:rPr>
        <w:t xml:space="preserve"> и составит </w:t>
      </w:r>
      <w:r>
        <w:rPr>
          <w:sz w:val="28"/>
          <w:highlight w:val="white"/>
        </w:rPr>
        <w:t xml:space="preserve">538,7 м</w:t>
      </w:r>
      <w:r>
        <w:rPr>
          <w:sz w:val="28"/>
          <w:highlight w:val="white"/>
        </w:rPr>
        <w:t xml:space="preserve">л</w:t>
      </w:r>
      <w:r>
        <w:rPr>
          <w:sz w:val="28"/>
          <w:highlight w:val="white"/>
        </w:rPr>
        <w:t xml:space="preserve">рд рублей. </w:t>
      </w:r>
      <w:r>
        <w:rPr>
          <w:sz w:val="28"/>
          <w:szCs w:val="28"/>
          <w:highlight w:val="white"/>
        </w:rPr>
        <w:t xml:space="preserve">При этом сумма прибыли прибыльных предприятий превышает ранее прогнозируемое значение </w:t>
      </w:r>
      <w:r>
        <w:rPr>
          <w:sz w:val="28"/>
          <w:szCs w:val="28"/>
          <w:highlight w:val="white"/>
        </w:rPr>
        <w:t xml:space="preserve">в 1,3 раза.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З</w:t>
      </w:r>
      <w:r>
        <w:rPr>
          <w:sz w:val="28"/>
          <w:highlight w:val="white"/>
          <w:lang w:eastAsia="en-US"/>
        </w:rPr>
        <w:t xml:space="preserve">начительное </w:t>
      </w:r>
      <w:r>
        <w:rPr>
          <w:sz w:val="28"/>
          <w:szCs w:val="28"/>
          <w:highlight w:val="white"/>
          <w:lang w:eastAsia="en-US"/>
        </w:rPr>
        <w:t xml:space="preserve">увеличение суммы прибыли прибыльных предприятий в   2023 году повлияло на уточнение ранее прогнозируемых значений на    2024</w:t>
      </w:r>
      <w:r>
        <w:rPr>
          <w:sz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  <w:lang w:eastAsia="en-US"/>
        </w:rPr>
        <w:t xml:space="preserve">2027 годы.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567"/>
        <w:jc w:val="both"/>
        <w:spacing w:line="264" w:lineRule="auto"/>
        <w:rPr>
          <w:sz w:val="28"/>
          <w:highlight w:val="white"/>
        </w:rPr>
      </w:pPr>
      <w:r>
        <w:rPr>
          <w:sz w:val="28"/>
          <w:highlight w:val="white"/>
          <w:lang w:eastAsia="en-US"/>
        </w:rPr>
        <w:t xml:space="preserve">В 2025–2027 годах в результате реализации Программы </w:t>
      </w:r>
      <w:r>
        <w:rPr>
          <w:sz w:val="28"/>
          <w:highlight w:val="white"/>
          <w:lang w:eastAsia="en-US"/>
        </w:rPr>
        <w:t xml:space="preserve">импортозамеще-ния</w:t>
      </w:r>
      <w:r>
        <w:rPr>
          <w:sz w:val="28"/>
          <w:highlight w:val="white"/>
          <w:lang w:eastAsia="en-US"/>
        </w:rPr>
        <w:t xml:space="preserve"> и активизации развития собственных производств, поиска альтернативных поставщиков, выстраивания новых цепочек поставок, развития каналов параллельного импорта прогнозируется рост прибыли прибыльных предприятий.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2025 году прибыль прибыльных организаций прогнозируется в сумме </w:t>
      </w:r>
      <w:r>
        <w:rPr>
          <w:sz w:val="28"/>
          <w:highlight w:val="white"/>
        </w:rPr>
        <w:t xml:space="preserve">591,8 </w:t>
      </w:r>
      <w:r>
        <w:rPr>
          <w:sz w:val="28"/>
          <w:highlight w:val="white"/>
        </w:rPr>
        <w:t xml:space="preserve">млрд рублей и увеличится относительно оценки 2024 </w:t>
      </w:r>
      <w:r>
        <w:rPr>
          <w:sz w:val="28"/>
          <w:highlight w:val="white"/>
        </w:rPr>
        <w:t xml:space="preserve">на 9,9</w:t>
      </w:r>
      <w:r>
        <w:rPr>
          <w:sz w:val="28"/>
          <w:highlight w:val="white"/>
        </w:rPr>
        <w:t xml:space="preserve">% и превысит ранее прогнозируемое значение </w:t>
      </w:r>
      <w:r>
        <w:rPr>
          <w:sz w:val="28"/>
          <w:highlight w:val="white"/>
        </w:rPr>
        <w:t xml:space="preserve">на 33,1</w:t>
      </w:r>
      <w:r>
        <w:rPr>
          <w:sz w:val="28"/>
          <w:highlight w:val="white"/>
        </w:rPr>
        <w:t xml:space="preserve">%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концу прогнозируемого периода прибыль прибыльных предприятий достигнет </w:t>
      </w:r>
      <w:r>
        <w:rPr>
          <w:sz w:val="28"/>
          <w:szCs w:val="28"/>
          <w:highlight w:val="white"/>
        </w:rPr>
        <w:t xml:space="preserve">663,7 </w:t>
      </w:r>
      <w:r>
        <w:rPr>
          <w:sz w:val="28"/>
          <w:szCs w:val="28"/>
          <w:highlight w:val="white"/>
        </w:rPr>
        <w:t xml:space="preserve">млрд рублей с ростом относительно базового 2023 года на </w:t>
      </w:r>
      <w:r>
        <w:rPr>
          <w:sz w:val="28"/>
          <w:szCs w:val="28"/>
          <w:highlight w:val="white"/>
        </w:rPr>
        <w:t xml:space="preserve">4,0%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8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.8. </w:t>
      </w:r>
      <w:r>
        <w:rPr>
          <w:sz w:val="28"/>
          <w:szCs w:val="28"/>
          <w:highlight w:val="white"/>
        </w:rPr>
        <w:t xml:space="preserve">Демография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Динамика среднегодовой численности населения муниципального образования город Краснодар характеризуется ежегодным приростом. По состоянию на 01.01.2024 среднегодовая численность населения составила </w:t>
      </w:r>
      <w:r>
        <w:rPr>
          <w:sz w:val="28"/>
          <w:szCs w:val="28"/>
          <w:highlight w:val="white"/>
        </w:rPr>
        <w:t xml:space="preserve">  1235,0 </w:t>
      </w:r>
      <w:r>
        <w:rPr>
          <w:sz w:val="28"/>
          <w:szCs w:val="28"/>
          <w:highlight w:val="white"/>
        </w:rPr>
        <w:t xml:space="preserve">тыс. человек, что практически соответствует прогнозируемой – </w:t>
      </w:r>
      <w:r>
        <w:rPr>
          <w:sz w:val="28"/>
          <w:szCs w:val="28"/>
          <w:highlight w:val="white"/>
        </w:rPr>
        <w:t xml:space="preserve">          1234,1 ты</w:t>
      </w:r>
      <w:r>
        <w:rPr>
          <w:sz w:val="28"/>
          <w:szCs w:val="28"/>
          <w:highlight w:val="white"/>
        </w:rPr>
        <w:t xml:space="preserve">с. человек. Корректировка показателя на прогнозируемый период (2025-2027 годы) в сторону увеличения связана со сложившейся тенденцией роста миграционного прироста в текущем 2024 году.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rFonts w:eastAsia="Calibri"/>
          <w:sz w:val="28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Определяющим в увеличении численности населения муниципального образования город Краснодар является миграционный прирост населения, особенно в период естественной убыли населения. Стабильному миграционному приросту населения 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способствует активное развитие городской инфраструктуры: строительство жилых домов, школ, детских садов, поликлиник, обновление парка общественного транспорта и др.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  <w:lang w:eastAsia="en-US"/>
        </w:rPr>
        <w:t xml:space="preserve">ород Краснодар на протяжении ряда лет входит в десятку лучших городов России по уровню жизни, что подтверждается исследованиями, основанными на статистических данных и социальных опросах населения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. </w:t>
      </w:r>
      <w:r>
        <w:rPr>
          <w:rFonts w:eastAsia="Calibri"/>
          <w:sz w:val="28"/>
          <w:szCs w:val="22"/>
          <w:highlight w:val="white"/>
        </w:rPr>
      </w:r>
      <w:r>
        <w:rPr>
          <w:rFonts w:eastAsia="Calibri"/>
          <w:sz w:val="28"/>
          <w:szCs w:val="22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структуре миграционного прироста населения наибольший удельный вес занимает внешняя миграция (86%), в структуре международной мигра</w:t>
      </w:r>
      <w:r>
        <w:rPr>
          <w:sz w:val="28"/>
          <w:szCs w:val="28"/>
          <w:highlight w:val="white"/>
        </w:rPr>
        <w:t xml:space="preserve">ции - прирост мигрантов из стран СНГ. Положительное влияние на развитие демографической ситуации в городе оказывает приезд мигрантов в трудоспособном возрасте, удельный вес которых в общем миграционном приросте на протяжении ряда лет составляет более 75%.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Вторым положительным фактором в развитии демографической ситуации в городе Краснодаре являлся естественный прирост населения. Однако, с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        2017 года его величина снижается. В 2021 году </w:t>
      </w:r>
      <w:r>
        <w:rPr>
          <w:sz w:val="28"/>
          <w:szCs w:val="28"/>
          <w:highlight w:val="white"/>
        </w:rPr>
        <w:t xml:space="preserve">в связи с пандемией отмечалась естественная убыль населения. С 2022 года число родившихся превышает количество умерших жителей.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С целью выработки мер по повышению рождаемости в </w:t>
      </w:r>
      <w:r>
        <w:rPr>
          <w:sz w:val="28"/>
          <w:szCs w:val="28"/>
          <w:highlight w:val="white"/>
        </w:rPr>
        <w:t xml:space="preserve">соответствии с постановлением Губернатора Краснодарского края от 29.06.2023 № 417 «Об утверждении региональной</w:t>
      </w:r>
      <w:r>
        <w:rPr>
          <w:sz w:val="28"/>
          <w:szCs w:val="28"/>
          <w:highlight w:val="white"/>
        </w:rPr>
        <w:t xml:space="preserve"> программы по повышению рождаемости в Краснодарском крае» разработана Программа по повышению рождаемости в муниципальном образовании город Краснодар (далее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Программа). Программа включает в себя оценку </w:t>
      </w:r>
      <w:r>
        <w:rPr>
          <w:sz w:val="28"/>
          <w:szCs w:val="28"/>
          <w:highlight w:val="white"/>
        </w:rPr>
        <w:t xml:space="preserve">демографического потенциала города Краснодара, установление нового комплекса мер по повышению рождаемости и поддержке </w:t>
      </w:r>
      <w:r>
        <w:rPr>
          <w:sz w:val="28"/>
          <w:szCs w:val="28"/>
          <w:highlight w:val="white"/>
        </w:rPr>
        <w:t xml:space="preserve">семей с детьми, а также определение целевых значений показателей рождаемости в городе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Краснодаре на период 2023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2025 годов.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Таким образом, среди позитивных тенденций для развития демографической ситуации в городе Краснодаре можно выделить следующие: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сохранение миграционного прироста населения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высокий удельный вес трудоспособного населения в миграционном приросте населения;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лидирующие позиции города Краснодара по качеству жизни: стабильное положение города в первой десятке национальных рейтингов качества жизни и конкурентоспособной городской среды;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принятие Программы по повышению рождаемости.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8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.9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Трудовые ресурсы и занятость населения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Основными источниками формирования трудовых ресурсов прод</w:t>
      </w:r>
      <w:r>
        <w:rPr>
          <w:sz w:val="28"/>
          <w:szCs w:val="28"/>
          <w:highlight w:val="white"/>
        </w:rPr>
        <w:t xml:space="preserve">олжают оставаться: молодёжь, достигшая трудоспособного возраста, граждане, прибывающие на постоянное место жительства в город Краснодар в результате миграционных процессов, неработающие лица в трудоспособном возрасте, а также граждане пенсионного возраста.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Численность занятых в экономике в среднегодовом исчислении в             2023 году составила </w:t>
      </w:r>
      <w:r>
        <w:rPr>
          <w:sz w:val="28"/>
          <w:szCs w:val="28"/>
          <w:highlight w:val="white"/>
        </w:rPr>
        <w:t xml:space="preserve">765,2 т</w:t>
      </w:r>
      <w:r>
        <w:rPr>
          <w:sz w:val="28"/>
          <w:szCs w:val="28"/>
          <w:highlight w:val="white"/>
        </w:rPr>
        <w:t xml:space="preserve">ыс. человек, что на </w:t>
      </w:r>
      <w:r>
        <w:rPr>
          <w:sz w:val="28"/>
          <w:szCs w:val="28"/>
          <w:highlight w:val="white"/>
        </w:rPr>
        <w:t xml:space="preserve">18,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человек выше ранее прогнозируемого значения. Основная причина </w:t>
      </w:r>
      <w:r>
        <w:rPr>
          <w:sz w:val="28"/>
          <w:szCs w:val="28"/>
          <w:highlight w:val="white"/>
        </w:rPr>
        <w:t xml:space="preserve">– увеличение численности занятых в торговле, образовании, в области здравоохранения и социальных услуг, государственном управлении и обеспечении военной безопасности. К концу 2027 года среднегодовая численность занятых в экономике прогнозируется на уровне </w:t>
      </w:r>
      <w:r>
        <w:rPr>
          <w:sz w:val="28"/>
          <w:szCs w:val="28"/>
          <w:highlight w:val="white"/>
        </w:rPr>
        <w:t xml:space="preserve">832,1 </w:t>
      </w:r>
      <w:r>
        <w:rPr>
          <w:sz w:val="28"/>
          <w:szCs w:val="28"/>
          <w:highlight w:val="white"/>
        </w:rPr>
        <w:t xml:space="preserve">тыс. человек, темп роста к базо</w:t>
      </w:r>
      <w:r>
        <w:rPr>
          <w:sz w:val="28"/>
          <w:szCs w:val="28"/>
          <w:highlight w:val="white"/>
        </w:rPr>
        <w:t xml:space="preserve">вому 2023 году – </w:t>
      </w:r>
      <w:r>
        <w:rPr>
          <w:sz w:val="28"/>
          <w:szCs w:val="28"/>
          <w:highlight w:val="white"/>
        </w:rPr>
        <w:t xml:space="preserve">108,7</w:t>
      </w:r>
      <w:r>
        <w:rPr>
          <w:sz w:val="28"/>
          <w:szCs w:val="28"/>
          <w:highlight w:val="white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Среднегодовой уровень регистрируемой безработицы в процентах от численности трудоспособного населения в трудоспособном возрасте в 2023 году составил </w:t>
      </w:r>
      <w:r>
        <w:rPr>
          <w:sz w:val="28"/>
          <w:szCs w:val="28"/>
          <w:highlight w:val="white"/>
        </w:rPr>
        <w:t xml:space="preserve">0,3%, </w:t>
      </w:r>
      <w:r>
        <w:rPr>
          <w:sz w:val="28"/>
          <w:szCs w:val="28"/>
          <w:highlight w:val="white"/>
        </w:rPr>
        <w:t xml:space="preserve">что соответствует ранее прогнозируемому значению. На период 2024–2027 годов показатель скорректирован в сторону уменьшения по сравнению с ранее прогнозируемыми значениями в связи со стабилизацией ситуации на рынке труда.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8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6</w:t>
      </w:r>
      <w:r>
        <w:rPr>
          <w:spacing w:val="2"/>
          <w:sz w:val="28"/>
          <w:szCs w:val="28"/>
          <w:highlight w:val="white"/>
        </w:rPr>
        <w:t xml:space="preserve">.10. Труд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2023 году фонд оплаты труда составил </w:t>
      </w:r>
      <w:r>
        <w:rPr>
          <w:spacing w:val="2"/>
          <w:sz w:val="28"/>
          <w:szCs w:val="28"/>
          <w:highlight w:val="white"/>
        </w:rPr>
        <w:t xml:space="preserve">347,9 </w:t>
      </w:r>
      <w:r>
        <w:rPr>
          <w:spacing w:val="2"/>
          <w:sz w:val="28"/>
          <w:szCs w:val="28"/>
          <w:highlight w:val="white"/>
        </w:rPr>
        <w:t xml:space="preserve">млрд рублей, что на </w:t>
      </w:r>
      <w:r>
        <w:rPr>
          <w:spacing w:val="2"/>
          <w:sz w:val="28"/>
          <w:szCs w:val="28"/>
          <w:highlight w:val="white"/>
        </w:rPr>
        <w:t xml:space="preserve">        9,9</w:t>
      </w:r>
      <w:r>
        <w:rPr>
          <w:spacing w:val="2"/>
          <w:sz w:val="28"/>
          <w:szCs w:val="28"/>
          <w:highlight w:val="white"/>
        </w:rPr>
        <w:t xml:space="preserve"> </w:t>
      </w:r>
      <w:r>
        <w:rPr>
          <w:spacing w:val="2"/>
          <w:sz w:val="28"/>
          <w:szCs w:val="28"/>
          <w:highlight w:val="white"/>
        </w:rPr>
        <w:t xml:space="preserve">млрд рублей, или на </w:t>
      </w:r>
      <w:r>
        <w:rPr>
          <w:spacing w:val="2"/>
          <w:sz w:val="28"/>
          <w:szCs w:val="28"/>
          <w:highlight w:val="white"/>
        </w:rPr>
        <w:t xml:space="preserve">2,9%, </w:t>
      </w:r>
      <w:r>
        <w:rPr>
          <w:spacing w:val="2"/>
          <w:sz w:val="28"/>
          <w:szCs w:val="28"/>
          <w:highlight w:val="white"/>
        </w:rPr>
        <w:t xml:space="preserve">превышает ранее прогнозируемое значение. Основным фактором, повлиявшим на превышение прогнозных значений, послужил рост фонда заработной платы предприятий торговли, </w:t>
      </w:r>
      <w:r>
        <w:rPr>
          <w:sz w:val="28"/>
          <w:szCs w:val="28"/>
          <w:highlight w:val="white"/>
        </w:rPr>
        <w:t xml:space="preserve">предприятий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занятых деятельностью по оказанию ф</w:t>
      </w:r>
      <w:r>
        <w:rPr>
          <w:sz w:val="28"/>
          <w:szCs w:val="28"/>
          <w:highlight w:val="white"/>
        </w:rPr>
        <w:t xml:space="preserve">инансовых услуг, деятельностью </w:t>
      </w:r>
      <w:r>
        <w:rPr>
          <w:sz w:val="28"/>
          <w:szCs w:val="28"/>
          <w:highlight w:val="white"/>
        </w:rPr>
        <w:t xml:space="preserve">профессиональной, научной и технической, а также деятельностью по обеспечению безопасности и проведению расследований.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2024–202</w:t>
      </w:r>
      <w:r>
        <w:rPr>
          <w:spacing w:val="2"/>
          <w:sz w:val="28"/>
          <w:szCs w:val="28"/>
          <w:highlight w:val="white"/>
        </w:rPr>
        <w:t xml:space="preserve">7</w:t>
      </w:r>
      <w:r>
        <w:rPr>
          <w:spacing w:val="2"/>
          <w:sz w:val="28"/>
          <w:szCs w:val="28"/>
          <w:highlight w:val="white"/>
        </w:rPr>
        <w:t xml:space="preserve"> годах фонд заработной платы скорректирован в сторону увеличения в среднем </w:t>
      </w:r>
      <w:r>
        <w:rPr>
          <w:spacing w:val="2"/>
          <w:sz w:val="28"/>
          <w:szCs w:val="28"/>
          <w:highlight w:val="white"/>
        </w:rPr>
        <w:t xml:space="preserve">на </w:t>
      </w:r>
      <w:r>
        <w:rPr>
          <w:spacing w:val="2"/>
          <w:sz w:val="28"/>
          <w:szCs w:val="28"/>
          <w:highlight w:val="white"/>
        </w:rPr>
        <w:t xml:space="preserve">84,2</w:t>
      </w:r>
      <w:r>
        <w:rPr>
          <w:spacing w:val="2"/>
          <w:sz w:val="28"/>
          <w:szCs w:val="28"/>
          <w:highlight w:val="white"/>
        </w:rPr>
        <w:t xml:space="preserve"> </w:t>
      </w:r>
      <w:r>
        <w:rPr>
          <w:spacing w:val="2"/>
          <w:sz w:val="28"/>
          <w:szCs w:val="28"/>
          <w:highlight w:val="white"/>
        </w:rPr>
        <w:t xml:space="preserve">млрд рублей в связи с расширением торговых сетей, </w:t>
      </w:r>
      <w:r>
        <w:rPr>
          <w:sz w:val="28"/>
          <w:szCs w:val="28"/>
          <w:highlight w:val="white"/>
        </w:rPr>
        <w:t xml:space="preserve">принятием мер, направленных на повышение заработной платы работникам бюджетной сферы, денежного довольствия военнослужащим и сотрудникам силовых структур.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Уровень среднемесячной заработной платы по полному кругу предприятий в 2025 году </w:t>
      </w:r>
      <w:r>
        <w:rPr>
          <w:spacing w:val="2"/>
          <w:sz w:val="28"/>
          <w:szCs w:val="28"/>
          <w:highlight w:val="white"/>
        </w:rPr>
        <w:t xml:space="preserve">достигнет 94033 </w:t>
      </w:r>
      <w:r>
        <w:rPr>
          <w:spacing w:val="2"/>
          <w:sz w:val="28"/>
          <w:szCs w:val="28"/>
          <w:highlight w:val="white"/>
        </w:rPr>
        <w:t xml:space="preserve">рубля, в 2026 году – </w:t>
      </w:r>
      <w:r>
        <w:rPr>
          <w:spacing w:val="2"/>
          <w:sz w:val="28"/>
          <w:szCs w:val="28"/>
          <w:highlight w:val="white"/>
        </w:rPr>
        <w:t xml:space="preserve">106149,6 </w:t>
      </w:r>
      <w:r>
        <w:rPr>
          <w:spacing w:val="2"/>
          <w:sz w:val="28"/>
          <w:szCs w:val="28"/>
          <w:highlight w:val="white"/>
        </w:rPr>
        <w:t xml:space="preserve">рубля, что выше ранее прогнозируемых значений на </w:t>
      </w:r>
      <w:r>
        <w:rPr>
          <w:spacing w:val="2"/>
          <w:sz w:val="28"/>
          <w:szCs w:val="28"/>
          <w:highlight w:val="white"/>
        </w:rPr>
        <w:t xml:space="preserve">18,0% и на 23,1% </w:t>
      </w:r>
      <w:r>
        <w:rPr>
          <w:spacing w:val="2"/>
          <w:sz w:val="28"/>
          <w:szCs w:val="28"/>
          <w:highlight w:val="white"/>
        </w:rPr>
        <w:t xml:space="preserve">соответственно.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В 2027 году, к концу прогнозируемого периода, среднемесячная заработная плата достигнет </w:t>
      </w:r>
      <w:r>
        <w:rPr>
          <w:spacing w:val="2"/>
          <w:sz w:val="28"/>
          <w:szCs w:val="28"/>
          <w:highlight w:val="white"/>
        </w:rPr>
        <w:t xml:space="preserve">113805,8 </w:t>
      </w:r>
      <w:r>
        <w:rPr>
          <w:spacing w:val="2"/>
          <w:sz w:val="28"/>
          <w:szCs w:val="28"/>
          <w:highlight w:val="white"/>
        </w:rPr>
        <w:t xml:space="preserve">рубля и ув</w:t>
      </w:r>
      <w:r>
        <w:rPr>
          <w:spacing w:val="2"/>
          <w:sz w:val="28"/>
          <w:szCs w:val="28"/>
          <w:highlight w:val="white"/>
        </w:rPr>
        <w:t xml:space="preserve">еличится относительно базового </w:t>
      </w:r>
      <w:r>
        <w:rPr>
          <w:spacing w:val="2"/>
          <w:sz w:val="28"/>
          <w:szCs w:val="28"/>
          <w:highlight w:val="white"/>
        </w:rPr>
        <w:t xml:space="preserve">2023 года </w:t>
      </w:r>
      <w:r>
        <w:rPr>
          <w:spacing w:val="2"/>
          <w:sz w:val="28"/>
          <w:szCs w:val="28"/>
          <w:highlight w:val="white"/>
        </w:rPr>
        <w:t xml:space="preserve">в 1,7 раза</w:t>
      </w:r>
      <w:r>
        <w:rPr>
          <w:spacing w:val="2"/>
          <w:sz w:val="28"/>
          <w:szCs w:val="28"/>
          <w:highlight w:val="white"/>
        </w:rPr>
        <w:t xml:space="preserve">.</w:t>
      </w:r>
      <w:r>
        <w:rPr>
          <w:spacing w:val="2"/>
          <w:sz w:val="28"/>
          <w:szCs w:val="28"/>
          <w:highlight w:val="white"/>
        </w:rPr>
      </w:r>
      <w:r>
        <w:rPr>
          <w:spacing w:val="2"/>
          <w:sz w:val="28"/>
          <w:szCs w:val="28"/>
          <w:highlight w:val="white"/>
        </w:rPr>
      </w:r>
    </w:p>
    <w:p>
      <w:pPr>
        <w:ind w:left="708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.11. </w:t>
      </w:r>
      <w:r>
        <w:rPr>
          <w:sz w:val="28"/>
          <w:szCs w:val="28"/>
          <w:highlight w:val="white"/>
        </w:rPr>
        <w:t xml:space="preserve">Малое и среднее предпринимательство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количество субъектов МСП составило </w:t>
      </w:r>
      <w:r>
        <w:rPr>
          <w:sz w:val="28"/>
          <w:szCs w:val="28"/>
          <w:highlight w:val="white"/>
        </w:rPr>
        <w:t xml:space="preserve">96,4 </w:t>
      </w:r>
      <w:r>
        <w:rPr>
          <w:sz w:val="28"/>
          <w:szCs w:val="28"/>
          <w:highlight w:val="white"/>
        </w:rPr>
        <w:t xml:space="preserve">тыс. единиц, или </w:t>
      </w:r>
      <w:r>
        <w:rPr>
          <w:sz w:val="28"/>
          <w:szCs w:val="28"/>
          <w:highlight w:val="white"/>
        </w:rPr>
        <w:t xml:space="preserve">106,5%</w:t>
      </w:r>
      <w:r>
        <w:rPr>
          <w:sz w:val="28"/>
          <w:szCs w:val="28"/>
          <w:highlight w:val="white"/>
        </w:rPr>
        <w:t xml:space="preserve"> к предыдущему году и </w:t>
      </w:r>
      <w:r>
        <w:rPr>
          <w:sz w:val="28"/>
          <w:szCs w:val="28"/>
          <w:highlight w:val="white"/>
        </w:rPr>
        <w:t xml:space="preserve">105,0</w:t>
      </w:r>
      <w:r>
        <w:rPr>
          <w:sz w:val="28"/>
          <w:szCs w:val="28"/>
          <w:highlight w:val="white"/>
        </w:rPr>
        <w:t xml:space="preserve">% к ранее планируемому значению</w:t>
      </w:r>
      <w:r>
        <w:rPr>
          <w:sz w:val="28"/>
          <w:szCs w:val="28"/>
          <w:highlight w:val="white"/>
        </w:rPr>
        <w:t xml:space="preserve">. В</w:t>
      </w:r>
      <w:r>
        <w:rPr>
          <w:sz w:val="28"/>
          <w:szCs w:val="28"/>
          <w:highlight w:val="white"/>
        </w:rPr>
        <w:t xml:space="preserve"> оценке 2024 года количество субъектов МСП составит </w:t>
      </w:r>
      <w:r>
        <w:rPr>
          <w:sz w:val="28"/>
          <w:szCs w:val="28"/>
          <w:highlight w:val="white"/>
        </w:rPr>
        <w:t xml:space="preserve">99,2 </w:t>
      </w:r>
      <w:r>
        <w:rPr>
          <w:sz w:val="28"/>
          <w:szCs w:val="28"/>
          <w:highlight w:val="white"/>
        </w:rPr>
        <w:t xml:space="preserve">тыс. единиц (</w:t>
      </w:r>
      <w:r>
        <w:rPr>
          <w:sz w:val="28"/>
          <w:szCs w:val="28"/>
          <w:highlight w:val="white"/>
        </w:rPr>
        <w:t xml:space="preserve">102,3% </w:t>
      </w:r>
      <w:r>
        <w:rPr>
          <w:sz w:val="28"/>
          <w:szCs w:val="28"/>
          <w:highlight w:val="white"/>
        </w:rPr>
        <w:t xml:space="preserve">к      2023 году и </w:t>
      </w:r>
      <w:r>
        <w:rPr>
          <w:sz w:val="28"/>
          <w:szCs w:val="28"/>
          <w:highlight w:val="white"/>
        </w:rPr>
        <w:t xml:space="preserve">107,6</w:t>
      </w:r>
      <w:r>
        <w:rPr>
          <w:sz w:val="28"/>
          <w:szCs w:val="28"/>
          <w:highlight w:val="white"/>
        </w:rPr>
        <w:t xml:space="preserve">% к ранее прогнозируемому значению).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 концу прогнозируемого периода количество субъектов МСП увеличится по отношению к базовому 2023 году почти на </w:t>
      </w:r>
      <w:r>
        <w:rPr>
          <w:sz w:val="28"/>
          <w:szCs w:val="28"/>
          <w:highlight w:val="white"/>
        </w:rPr>
        <w:t xml:space="preserve">5,1 тыс</w:t>
      </w:r>
      <w:r>
        <w:rPr>
          <w:sz w:val="28"/>
          <w:szCs w:val="28"/>
          <w:highlight w:val="white"/>
        </w:rPr>
        <w:t xml:space="preserve">. единиц и составит                </w:t>
      </w:r>
      <w:r>
        <w:rPr>
          <w:sz w:val="28"/>
          <w:szCs w:val="28"/>
          <w:highlight w:val="white"/>
        </w:rPr>
        <w:t xml:space="preserve">101,5 </w:t>
      </w:r>
      <w:r>
        <w:rPr>
          <w:sz w:val="28"/>
          <w:szCs w:val="28"/>
          <w:highlight w:val="white"/>
        </w:rPr>
        <w:t xml:space="preserve">тыс. единиц.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Уточнение значений ранее планируемых показателей в сторону увеличения связано с ростом числа субъектов МСП и физических лиц, не являющихся индивидуальными предпринимателя</w:t>
      </w:r>
      <w:r>
        <w:rPr>
          <w:sz w:val="28"/>
          <w:szCs w:val="28"/>
          <w:highlight w:val="white"/>
        </w:rPr>
        <w:t xml:space="preserve">ми и применяющих специальный налоговый режим «Налог на профессиональный доход» (далее – самозанятые). Популярность режима объясняется доступностью регистрации и простотой ведения дела: отсутствие проверок, отчётности, обязанности платить страховые взносы, </w:t>
      </w:r>
      <w:r>
        <w:rPr>
          <w:sz w:val="28"/>
          <w:szCs w:val="28"/>
          <w:highlight w:val="white"/>
        </w:rPr>
        <w:t xml:space="preserve">суперльготный</w:t>
      </w:r>
      <w:r>
        <w:rPr>
          <w:sz w:val="28"/>
          <w:szCs w:val="28"/>
          <w:highlight w:val="white"/>
        </w:rPr>
        <w:t xml:space="preserve"> вид налогового режима (ставки составляют всего 4% и 6%), м</w:t>
      </w:r>
      <w:r>
        <w:rPr>
          <w:sz w:val="28"/>
          <w:szCs w:val="28"/>
          <w:highlight w:val="white"/>
        </w:rPr>
        <w:t xml:space="preserve">еры поддержки (имущественная, консультативная, информационная) в рамках мероприятий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Краснодар».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осподдержка позволяет создавать условия, благодаря которым самозанятые развива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свое дело переходят в полноценное предпринимательство – оформляют ИП или ООО, создают рабочие места, масштабируются.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Переводом части работников субъектов МСП – юридических лиц в категорию </w:t>
      </w:r>
      <w:r>
        <w:rPr>
          <w:sz w:val="28"/>
          <w:szCs w:val="28"/>
          <w:highlight w:val="white"/>
        </w:rPr>
        <w:t xml:space="preserve">самозанятых</w:t>
      </w:r>
      <w:r>
        <w:rPr>
          <w:sz w:val="28"/>
          <w:szCs w:val="28"/>
          <w:highlight w:val="white"/>
        </w:rPr>
        <w:t xml:space="preserve">, а также дефицитом кадров в различных отраслях экономики Краснодарского края, в том числе у субъектов малого и с</w:t>
      </w:r>
      <w:r>
        <w:rPr>
          <w:sz w:val="28"/>
          <w:szCs w:val="28"/>
          <w:highlight w:val="white"/>
        </w:rPr>
        <w:t xml:space="preserve">реднего предпринимательства города Краснодара, объясняется корректировка значений показателя «численность работников в МСП (без учёта наёмных работников у индивидуальных предпринимателей)» в сторону уменьшения в 2023–2027 годах против ранее прогнозируемых.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2023 году численность работников в МСП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без учёта наёмных работников у индивидуальных предпринимателей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составила 164,4 тыс</w:t>
      </w:r>
      <w:r>
        <w:rPr>
          <w:sz w:val="28"/>
          <w:szCs w:val="28"/>
          <w:highlight w:val="white"/>
        </w:rPr>
        <w:t xml:space="preserve">. человек, или </w:t>
      </w:r>
      <w:r>
        <w:rPr>
          <w:sz w:val="28"/>
          <w:szCs w:val="28"/>
          <w:highlight w:val="white"/>
        </w:rPr>
        <w:t xml:space="preserve">98,7</w:t>
      </w:r>
      <w:r>
        <w:rPr>
          <w:sz w:val="28"/>
          <w:szCs w:val="28"/>
          <w:highlight w:val="white"/>
        </w:rPr>
        <w:t xml:space="preserve">% к ранее планируемому значению. В оценке 2024 года численность работников в МСП (без учёта наёмных работников у индивидуальных предпринимателей) составит почти </w:t>
      </w:r>
      <w:r>
        <w:rPr>
          <w:sz w:val="28"/>
          <w:szCs w:val="28"/>
          <w:highlight w:val="white"/>
        </w:rPr>
        <w:t xml:space="preserve">165,0 тыс</w:t>
      </w:r>
      <w:r>
        <w:rPr>
          <w:sz w:val="28"/>
          <w:szCs w:val="28"/>
          <w:highlight w:val="white"/>
        </w:rPr>
        <w:t xml:space="preserve">. человек, а к концу прогнозируемого периода вырастет на </w:t>
      </w:r>
      <w:r>
        <w:rPr>
          <w:sz w:val="28"/>
          <w:szCs w:val="28"/>
          <w:highlight w:val="white"/>
        </w:rPr>
        <w:t xml:space="preserve">4,4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человек по отношению к базовому 2023 году и </w:t>
      </w:r>
      <w:r>
        <w:rPr>
          <w:sz w:val="28"/>
          <w:szCs w:val="28"/>
          <w:highlight w:val="white"/>
        </w:rPr>
        <w:t xml:space="preserve">превысит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168,8 тыс</w:t>
      </w:r>
      <w:r>
        <w:rPr>
          <w:sz w:val="28"/>
          <w:szCs w:val="28"/>
          <w:highlight w:val="white"/>
        </w:rPr>
        <w:t xml:space="preserve">.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698"/>
        <w:spacing w:line="264" w:lineRule="auto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.12. Образование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Очереди в детские сады уже давно являются одн</w:t>
      </w:r>
      <w:r>
        <w:rPr>
          <w:sz w:val="28"/>
          <w:szCs w:val="28"/>
          <w:highlight w:val="white"/>
        </w:rPr>
        <w:t xml:space="preserve">ой из самых сложных проблем российской системы образования. Несмотря на </w:t>
      </w:r>
      <w:r>
        <w:rPr>
          <w:sz w:val="28"/>
          <w:szCs w:val="28"/>
          <w:highlight w:val="white"/>
        </w:rPr>
        <w:t xml:space="preserve">возведение в муниципальном образовании большого количества детских садов, </w:t>
      </w:r>
      <w:r>
        <w:rPr>
          <w:sz w:val="28"/>
          <w:szCs w:val="28"/>
          <w:highlight w:val="white"/>
        </w:rPr>
        <w:t xml:space="preserve">постоянный рост детского населения, связанный как с увеличением рождаемости в городе, так и с миграционными процессами, сказывается на увеличении количества детей, состоящих на очереди на получени</w:t>
      </w:r>
      <w:r>
        <w:rPr>
          <w:sz w:val="28"/>
          <w:szCs w:val="28"/>
          <w:highlight w:val="white"/>
        </w:rPr>
        <w:t xml:space="preserve">е места в детском саду.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2023 году дефицит мест в детских садах составил 31,8 тыс. мест</w:t>
      </w:r>
      <w:r>
        <w:rPr>
          <w:sz w:val="28"/>
          <w:szCs w:val="28"/>
          <w:highlight w:val="white"/>
        </w:rPr>
        <w:t xml:space="preserve">, что соответствует ранее планируемому значению. К </w:t>
      </w:r>
      <w:r>
        <w:rPr>
          <w:sz w:val="28"/>
          <w:szCs w:val="28"/>
          <w:highlight w:val="white"/>
        </w:rPr>
        <w:t xml:space="preserve">концу 2027</w:t>
      </w:r>
      <w:r>
        <w:rPr>
          <w:sz w:val="28"/>
          <w:szCs w:val="28"/>
          <w:highlight w:val="white"/>
        </w:rPr>
        <w:t xml:space="preserve"> года показатель составит 31,2 тыс. мест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Дефицит мест в общеобразовательных учр</w:t>
      </w:r>
      <w:r>
        <w:rPr>
          <w:sz w:val="28"/>
          <w:szCs w:val="28"/>
          <w:highlight w:val="white"/>
        </w:rPr>
        <w:t xml:space="preserve">еждения</w:t>
      </w:r>
      <w:r>
        <w:rPr>
          <w:sz w:val="28"/>
          <w:szCs w:val="28"/>
          <w:highlight w:val="white"/>
        </w:rPr>
        <w:t xml:space="preserve">х приводит к увеличению количества смен. По поручению Президента Российской Федерации до 1 января 2025 года школы должны перейти на односменный режим обучения. Однако для перехода на работу в одну смену школам города Краснодара в        2023 году не хватал</w:t>
      </w:r>
      <w:r>
        <w:rPr>
          <w:sz w:val="28"/>
          <w:szCs w:val="28"/>
          <w:highlight w:val="white"/>
        </w:rPr>
        <w:t xml:space="preserve">о 99,8 тыс. мест, что практически</w:t>
      </w:r>
      <w:r>
        <w:rPr>
          <w:sz w:val="28"/>
          <w:szCs w:val="28"/>
          <w:highlight w:val="white"/>
        </w:rPr>
        <w:t xml:space="preserve"> соответствует ранее планируемому значению. В оценке 2024 года дефицит мест в школах для перехода на односменный режим составит 104,5 тыс. мест и снизится по сравнению с ранее планируемым значением на 4,5%. </w:t>
      </w:r>
      <w:r>
        <w:rPr>
          <w:sz w:val="28"/>
          <w:szCs w:val="28"/>
          <w:highlight w:val="white"/>
        </w:rPr>
        <w:t xml:space="preserve">К концу прогнозируемого периода необходимо создать 125 тыс. мест</w:t>
      </w:r>
      <w:r>
        <w:rPr>
          <w:sz w:val="28"/>
          <w:szCs w:val="28"/>
          <w:highlight w:val="white"/>
        </w:rPr>
        <w:t xml:space="preserve">, что соответствует ранее планируемому значению.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решения проблемы обеспечен</w:t>
      </w:r>
      <w:r>
        <w:rPr>
          <w:sz w:val="28"/>
          <w:szCs w:val="28"/>
          <w:highlight w:val="white"/>
        </w:rPr>
        <w:t xml:space="preserve">ности местами в детских садах и школах продо</w:t>
      </w:r>
      <w:r>
        <w:rPr>
          <w:sz w:val="28"/>
          <w:szCs w:val="28"/>
          <w:highlight w:val="white"/>
        </w:rPr>
        <w:t xml:space="preserve">лжается активная работа по проектированию и строительству новых учреждений.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Выпускники муниципальных обще</w:t>
      </w:r>
      <w:r>
        <w:rPr>
          <w:sz w:val="28"/>
          <w:szCs w:val="28"/>
          <w:highlight w:val="white"/>
        </w:rPr>
        <w:t xml:space="preserve">образовательных организаций, не получившие аттестаты, из числа обучающихся, допущенных к государственной аттеста</w:t>
      </w:r>
      <w:r>
        <w:rPr>
          <w:sz w:val="28"/>
          <w:szCs w:val="28"/>
          <w:highlight w:val="white"/>
        </w:rPr>
        <w:t xml:space="preserve">ции, в 2023 году составили 0,8%, в 2024 году показатель составит 0,9%, что немного выше ранее планируемого значения. В 2025–2027 годах прогнозируется отсутствие выпускников, не получивших аттестаты </w:t>
      </w:r>
      <w:r>
        <w:rPr>
          <w:sz w:val="28"/>
          <w:szCs w:val="28"/>
          <w:highlight w:val="white"/>
        </w:rPr>
        <w:t xml:space="preserve">из числа обучающихся, допущенных к государственной аттестации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Доля детей от 5 до 18 лет, получающих дополнительное образование, в 2023 году составляла 75,0%. В 2024 году </w:t>
      </w:r>
      <w:r>
        <w:rPr>
          <w:sz w:val="28"/>
          <w:szCs w:val="28"/>
          <w:highlight w:val="white"/>
        </w:rPr>
        <w:t xml:space="preserve">показатель соответствует ранее планируемому значению. К концу прогнозируемого периода он составит 80,9%.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.13</w:t>
      </w:r>
      <w:r>
        <w:rPr>
          <w:sz w:val="28"/>
          <w:szCs w:val="28"/>
          <w:highlight w:val="white"/>
        </w:rPr>
        <w:t xml:space="preserve">. Культура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0" w:firstLine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Расчёт показателей уровня обеспеченности населения муниципального образования город Краснодар учреждениями клубного типа и библиотеками выполнен в соответствии с распоряжением Министерства </w:t>
      </w:r>
      <w:r>
        <w:rPr>
          <w:sz w:val="28"/>
          <w:szCs w:val="28"/>
          <w:highlight w:val="white"/>
        </w:rPr>
        <w:t xml:space="preserve">культуры Российской Федерации от 02.08.2017 № З-965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0" w:firstLine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2023 года обеспеченность населения домами культуры составила </w:t>
      </w:r>
      <w:r>
        <w:rPr>
          <w:sz w:val="28"/>
          <w:szCs w:val="28"/>
          <w:highlight w:val="white"/>
        </w:rPr>
        <w:t xml:space="preserve">52,72%. </w:t>
      </w:r>
      <w:r>
        <w:rPr>
          <w:sz w:val="28"/>
          <w:szCs w:val="28"/>
          <w:highlight w:val="white"/>
        </w:rPr>
        <w:t xml:space="preserve">В оценке 2024 года этот показатель составит </w:t>
      </w:r>
      <w:r>
        <w:rPr>
          <w:sz w:val="28"/>
          <w:szCs w:val="28"/>
          <w:highlight w:val="white"/>
        </w:rPr>
        <w:t xml:space="preserve">52,11%. </w:t>
      </w:r>
      <w:r>
        <w:rPr>
          <w:sz w:val="28"/>
          <w:szCs w:val="28"/>
          <w:highlight w:val="white"/>
        </w:rPr>
        <w:t xml:space="preserve">В        2027 году обеспеченность населения домами культуры и отдыха снизится по отношению к базовому 2023 году и </w:t>
      </w:r>
      <w:r>
        <w:rPr>
          <w:sz w:val="28"/>
          <w:szCs w:val="28"/>
          <w:highlight w:val="white"/>
        </w:rPr>
        <w:t xml:space="preserve">составит 50,23%. </w:t>
      </w:r>
      <w:r>
        <w:rPr>
          <w:sz w:val="28"/>
          <w:szCs w:val="28"/>
          <w:highlight w:val="white"/>
        </w:rPr>
        <w:t xml:space="preserve">Прогнозные значения показателей практически соответствуют ранее планируемым значениям.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0" w:firstLine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Обеспеченность населения парками культуры и отдыха в 2023 году составила </w:t>
      </w:r>
      <w:r>
        <w:rPr>
          <w:sz w:val="28"/>
          <w:szCs w:val="28"/>
          <w:highlight w:val="white"/>
        </w:rPr>
        <w:t xml:space="preserve">14,56%. </w:t>
      </w:r>
      <w:r>
        <w:rPr>
          <w:sz w:val="28"/>
          <w:szCs w:val="28"/>
          <w:highlight w:val="white"/>
        </w:rPr>
        <w:t xml:space="preserve">В оценке 2024 года показатель снизится и составит </w:t>
      </w:r>
      <w:r>
        <w:rPr>
          <w:sz w:val="28"/>
          <w:szCs w:val="28"/>
          <w:highlight w:val="white"/>
        </w:rPr>
        <w:t xml:space="preserve">14,27</w:t>
      </w:r>
      <w:r>
        <w:rPr>
          <w:sz w:val="28"/>
          <w:szCs w:val="28"/>
          <w:highlight w:val="white"/>
        </w:rPr>
        <w:t xml:space="preserve">%, в 2025–2027 годах обеспеченность населения парками культуры и отдыха продолжит снижаться и к концу прогнозируемого периода составит </w:t>
      </w:r>
      <w:r>
        <w:rPr>
          <w:sz w:val="28"/>
          <w:szCs w:val="28"/>
          <w:highlight w:val="white"/>
        </w:rPr>
        <w:t xml:space="preserve">13,9%, </w:t>
      </w:r>
      <w:r>
        <w:rPr>
          <w:sz w:val="28"/>
          <w:szCs w:val="28"/>
          <w:highlight w:val="white"/>
        </w:rPr>
        <w:t xml:space="preserve">что практически соответствует ранее планируемым значениям.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0" w:firstLine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Снижение уровня фактической обеспеченности домами культуры и парками культуры и отдыха в прогнозируемом периоде вызвано ростом населения муниципального образования город Краснодар.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708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.14. </w:t>
      </w:r>
      <w:r>
        <w:rPr>
          <w:sz w:val="28"/>
          <w:szCs w:val="28"/>
          <w:highlight w:val="white"/>
        </w:rPr>
        <w:t xml:space="preserve">Физическая культура и спорт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contextualSpacing w:val="0"/>
        <w:ind w:left="0" w:firstLine="709"/>
        <w:jc w:val="both"/>
        <w:spacing w:line="264" w:lineRule="auto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Приоритетными направлениями рынка спортивных услуг в м</w:t>
      </w:r>
      <w:r>
        <w:rPr>
          <w:sz w:val="28"/>
          <w:szCs w:val="28"/>
          <w:highlight w:val="white"/>
        </w:rPr>
        <w:t xml:space="preserve">униципальном образовании город Краснодар являются: формирование здорового образа жизни краснодарцев, создание условий для повсеместного развития физической культуры и занятий массовым спортом, гармоничное воспитание здорового, физически крепкого поколения.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В 2023 году доля населения, систематически занимающегося физической культурой и спортом, составила </w:t>
      </w:r>
      <w:r>
        <w:rPr>
          <w:sz w:val="28"/>
          <w:szCs w:val="28"/>
          <w:highlight w:val="white"/>
        </w:rPr>
        <w:t xml:space="preserve">62,8%</w:t>
      </w:r>
      <w:r>
        <w:rPr>
          <w:sz w:val="28"/>
          <w:szCs w:val="28"/>
          <w:highlight w:val="white"/>
        </w:rPr>
        <w:t xml:space="preserve">. В оценке 2024 года показатель </w:t>
      </w:r>
      <w:r>
        <w:rPr>
          <w:sz w:val="28"/>
          <w:szCs w:val="28"/>
          <w:highlight w:val="white"/>
        </w:rPr>
        <w:t xml:space="preserve">достигнет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3,6</w:t>
      </w:r>
      <w:r>
        <w:rPr>
          <w:sz w:val="28"/>
          <w:szCs w:val="28"/>
          <w:highlight w:val="white"/>
        </w:rPr>
        <w:t xml:space="preserve">%. </w:t>
      </w:r>
      <w:r>
        <w:rPr>
          <w:sz w:val="28"/>
          <w:szCs w:val="28"/>
          <w:highlight w:val="white"/>
        </w:rPr>
        <w:t xml:space="preserve">К концу прогнозируемого периода доля населения, систематически занимающегося физической культурой и спортом, составит </w:t>
      </w:r>
      <w:r>
        <w:rPr>
          <w:sz w:val="28"/>
          <w:szCs w:val="28"/>
          <w:highlight w:val="white"/>
        </w:rPr>
        <w:t xml:space="preserve">64,5%. </w:t>
      </w:r>
      <w:r>
        <w:rPr>
          <w:sz w:val="28"/>
          <w:szCs w:val="28"/>
          <w:highlight w:val="white"/>
        </w:rPr>
        <w:t xml:space="preserve">Прогнозные показатели уточнены в связи с изменением темпов роста численности населения муниципального образования в прогнозируемом периоде.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Уровень обеспеченности населения спортивными сооружениями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исходя из единовременной пропускной мощности объектов спорта в 2023 году составил </w:t>
      </w:r>
      <w:r>
        <w:rPr>
          <w:sz w:val="28"/>
          <w:szCs w:val="28"/>
          <w:highlight w:val="white"/>
        </w:rPr>
        <w:t xml:space="preserve">60,3%</w:t>
      </w:r>
      <w:r>
        <w:rPr>
          <w:sz w:val="28"/>
          <w:szCs w:val="28"/>
          <w:highlight w:val="white"/>
        </w:rPr>
        <w:t xml:space="preserve">. В оценке 2024 года показатель вырастет и </w:t>
      </w:r>
      <w:r>
        <w:rPr>
          <w:sz w:val="28"/>
          <w:szCs w:val="28"/>
          <w:highlight w:val="white"/>
        </w:rPr>
        <w:t xml:space="preserve">достигнет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60,7%. </w:t>
      </w:r>
      <w:r>
        <w:rPr>
          <w:sz w:val="28"/>
          <w:szCs w:val="28"/>
          <w:highlight w:val="white"/>
        </w:rPr>
        <w:t xml:space="preserve">К концу </w:t>
      </w:r>
      <w:r>
        <w:rPr>
          <w:sz w:val="28"/>
          <w:szCs w:val="28"/>
          <w:highlight w:val="white"/>
        </w:rPr>
        <w:t xml:space="preserve">прогнозируемого периода уровень обеспеченности населения спортивными сооружениями исходя из единовременной пропускной мощности объектов спорта составит </w:t>
      </w:r>
      <w:r>
        <w:rPr>
          <w:sz w:val="28"/>
          <w:szCs w:val="28"/>
          <w:highlight w:val="white"/>
        </w:rPr>
        <w:t xml:space="preserve">60,9%. </w:t>
      </w:r>
      <w:r>
        <w:rPr>
          <w:sz w:val="28"/>
          <w:szCs w:val="28"/>
          <w:highlight w:val="white"/>
        </w:rPr>
        <w:t xml:space="preserve">Прогнозные показатели скорректированы в сторону уменьшения из-за увеличения темпов роста численности населения муниципального образования.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привлечени</w:t>
      </w:r>
      <w:r>
        <w:rPr>
          <w:sz w:val="28"/>
          <w:szCs w:val="28"/>
          <w:highlight w:val="white"/>
        </w:rPr>
        <w:t xml:space="preserve">я населения к активным занятиям физической культурой и спортом в Краснодаре, включающим в себя соревнования для всех категорий населения города, активно внедряется Всероссийский физкультурно-спортивный комплекс «Готов к труду и обороне» (далее – ВФСК ГТО).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жителей города Краснодара, зарегистрированных на сайте gto.ru, от общей численности населения города Краснодара в 2023 году составило </w:t>
      </w:r>
      <w:r>
        <w:rPr>
          <w:sz w:val="28"/>
          <w:szCs w:val="28"/>
          <w:highlight w:val="white"/>
        </w:rPr>
        <w:t xml:space="preserve">22,8%. В </w:t>
      </w:r>
      <w:r>
        <w:rPr>
          <w:sz w:val="28"/>
          <w:szCs w:val="28"/>
          <w:highlight w:val="white"/>
        </w:rPr>
        <w:t xml:space="preserve">оценке 2024 года этот показатель увеличится и составит </w:t>
      </w:r>
      <w:r>
        <w:rPr>
          <w:sz w:val="28"/>
          <w:szCs w:val="28"/>
          <w:highlight w:val="white"/>
        </w:rPr>
        <w:t xml:space="preserve">25,5%. </w:t>
      </w:r>
      <w:r>
        <w:rPr>
          <w:sz w:val="28"/>
          <w:szCs w:val="28"/>
          <w:highlight w:val="white"/>
        </w:rPr>
        <w:t xml:space="preserve">К концу прогнозируемого периода количество жителей города Краснодара, зарегистрированных на сайте gto.ru, от общей численности населения города Краснодара достигнет </w:t>
      </w:r>
      <w:r>
        <w:rPr>
          <w:sz w:val="28"/>
          <w:szCs w:val="28"/>
          <w:highlight w:val="white"/>
        </w:rPr>
        <w:t xml:space="preserve">29,1%, </w:t>
      </w:r>
      <w:r>
        <w:rPr>
          <w:sz w:val="28"/>
          <w:szCs w:val="28"/>
          <w:highlight w:val="white"/>
        </w:rPr>
        <w:t xml:space="preserve">что практически соответствует ранее планируемому значению.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Количество жителей города Краснодара, принявших участие в выполнении нормативов ВФСК ГТО, в общей численности населения города Краснодара, зарегистрированного на сайте gto.ru в 2023 году составило </w:t>
      </w:r>
      <w:r>
        <w:rPr>
          <w:sz w:val="28"/>
          <w:szCs w:val="28"/>
          <w:highlight w:val="white"/>
        </w:rPr>
        <w:t xml:space="preserve">75,2%. </w:t>
      </w:r>
      <w:r>
        <w:rPr>
          <w:sz w:val="28"/>
          <w:szCs w:val="28"/>
          <w:highlight w:val="white"/>
        </w:rPr>
        <w:t xml:space="preserve">В оценке     2024 года показатель составит </w:t>
      </w:r>
      <w:r>
        <w:rPr>
          <w:sz w:val="28"/>
          <w:szCs w:val="28"/>
          <w:highlight w:val="white"/>
        </w:rPr>
        <w:t xml:space="preserve">77,7%, </w:t>
      </w:r>
      <w:r>
        <w:rPr>
          <w:sz w:val="28"/>
          <w:szCs w:val="28"/>
          <w:highlight w:val="white"/>
        </w:rPr>
        <w:t xml:space="preserve">а к концу прогнозируемого периода достигнет </w:t>
      </w:r>
      <w:r>
        <w:rPr>
          <w:sz w:val="28"/>
          <w:szCs w:val="28"/>
          <w:highlight w:val="white"/>
        </w:rPr>
        <w:t xml:space="preserve">79,7%, </w:t>
      </w:r>
      <w:r>
        <w:rPr>
          <w:sz w:val="28"/>
          <w:szCs w:val="28"/>
          <w:highlight w:val="white"/>
        </w:rPr>
        <w:t xml:space="preserve">что практически соответствует ранее планируемому значению.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жителей города Краснодара, принявших участие в выполнении нормативов ВФСК ГТО, от общей численности населения города Краснодара в 2023 году составило </w:t>
      </w:r>
      <w:r>
        <w:rPr>
          <w:sz w:val="28"/>
          <w:szCs w:val="28"/>
          <w:highlight w:val="white"/>
        </w:rPr>
        <w:t xml:space="preserve">18,0%. </w:t>
      </w:r>
      <w:r>
        <w:rPr>
          <w:sz w:val="28"/>
          <w:szCs w:val="28"/>
          <w:highlight w:val="white"/>
        </w:rPr>
        <w:t xml:space="preserve">В оценке 2024 года показатель вырастет и составит </w:t>
      </w:r>
      <w:r>
        <w:rPr>
          <w:sz w:val="28"/>
          <w:szCs w:val="28"/>
          <w:highlight w:val="white"/>
        </w:rPr>
        <w:t xml:space="preserve">19,2%, </w:t>
      </w:r>
      <w:r>
        <w:rPr>
          <w:sz w:val="28"/>
          <w:szCs w:val="28"/>
          <w:highlight w:val="white"/>
        </w:rPr>
        <w:t xml:space="preserve">а в 2027 году количество жителей города Краснодара, принявших участие в выполнении нормативов ВФСК ГТО, от общей численности населения города Краснодара достигнет </w:t>
      </w:r>
      <w:r>
        <w:rPr>
          <w:sz w:val="28"/>
          <w:szCs w:val="28"/>
          <w:highlight w:val="white"/>
        </w:rPr>
        <w:t xml:space="preserve">22,6%, </w:t>
      </w:r>
      <w:r>
        <w:rPr>
          <w:sz w:val="28"/>
          <w:szCs w:val="28"/>
          <w:highlight w:val="white"/>
        </w:rPr>
        <w:t xml:space="preserve">что соответствует ранее прогнозируемому значению.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Краснодар                                                         </w:t>
      </w:r>
      <w:r>
        <w:rPr>
          <w:sz w:val="28"/>
          <w:szCs w:val="28"/>
        </w:rPr>
        <w:t xml:space="preserve">Е.С.Васильченко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624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DE Evolve Sans">
    <w:panose1 w:val="02000603000000000000"/>
  </w:font>
  <w:font w:name="BatangChe">
    <w:panose1 w:val="02000506000000020000"/>
  </w:font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libri Light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0"/>
        <w:sz w:val="28"/>
        <w:szCs w:val="28"/>
      </w:rPr>
      <w:framePr w:wrap="around" w:vAnchor="text" w:hAnchor="margin" w:xAlign="center" w:y="1"/>
    </w:pPr>
    <w:r>
      <w:rPr>
        <w:rStyle w:val="910"/>
        <w:sz w:val="28"/>
        <w:szCs w:val="28"/>
      </w:rPr>
      <w:fldChar w:fldCharType="begin"/>
    </w:r>
    <w:r>
      <w:rPr>
        <w:rStyle w:val="910"/>
        <w:sz w:val="28"/>
        <w:szCs w:val="28"/>
      </w:rPr>
      <w:instrText xml:space="preserve">PAGE  </w:instrText>
    </w:r>
    <w:r>
      <w:rPr>
        <w:rStyle w:val="910"/>
        <w:sz w:val="28"/>
        <w:szCs w:val="28"/>
      </w:rPr>
      <w:fldChar w:fldCharType="separate"/>
    </w:r>
    <w:r>
      <w:rPr>
        <w:rStyle w:val="910"/>
        <w:sz w:val="28"/>
        <w:szCs w:val="28"/>
      </w:rPr>
      <w:t xml:space="preserve">18</w:t>
    </w:r>
    <w:r>
      <w:rPr>
        <w:rStyle w:val="910"/>
        <w:sz w:val="28"/>
        <w:szCs w:val="28"/>
      </w:rPr>
      <w:fldChar w:fldCharType="end"/>
    </w:r>
    <w:r>
      <w:rPr>
        <w:rStyle w:val="910"/>
        <w:sz w:val="28"/>
        <w:szCs w:val="28"/>
      </w:rPr>
    </w:r>
    <w:r>
      <w:rPr>
        <w:rStyle w:val="910"/>
        <w:sz w:val="28"/>
        <w:szCs w:val="28"/>
      </w:rPr>
    </w:r>
  </w:p>
  <w:p>
    <w:pPr>
      <w:pStyle w:val="760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2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41"/>
    <w:qFormat/>
    <w:pPr>
      <w:keepNext/>
      <w:outlineLvl w:val="0"/>
    </w:pPr>
    <w:rPr>
      <w:sz w:val="28"/>
    </w:rPr>
  </w:style>
  <w:style w:type="paragraph" w:styleId="714">
    <w:name w:val="Heading 2"/>
    <w:basedOn w:val="712"/>
    <w:next w:val="712"/>
    <w:link w:val="925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15">
    <w:name w:val="Heading 3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2"/>
    <w:uiPriority w:val="10"/>
    <w:rPr>
      <w:sz w:val="48"/>
      <w:szCs w:val="48"/>
    </w:rPr>
  </w:style>
  <w:style w:type="character" w:styleId="734" w:customStyle="1">
    <w:name w:val="Subtitle Char"/>
    <w:basedOn w:val="72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12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2">
    <w:name w:val="Title"/>
    <w:basedOn w:val="712"/>
    <w:next w:val="712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link w:val="752"/>
    <w:uiPriority w:val="10"/>
    <w:rPr>
      <w:sz w:val="48"/>
      <w:szCs w:val="48"/>
    </w:rPr>
  </w:style>
  <w:style w:type="paragraph" w:styleId="754">
    <w:name w:val="Subtitle"/>
    <w:basedOn w:val="712"/>
    <w:next w:val="712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12"/>
    <w:next w:val="712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12"/>
    <w:next w:val="712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12"/>
    <w:link w:val="761"/>
    <w:pPr>
      <w:tabs>
        <w:tab w:val="center" w:pos="4677" w:leader="none"/>
        <w:tab w:val="right" w:pos="9355" w:leader="none"/>
      </w:tabs>
    </w:pPr>
  </w:style>
  <w:style w:type="character" w:styleId="761" w:customStyle="1">
    <w:name w:val="Верхний колонтитул Знак"/>
    <w:link w:val="760"/>
    <w:uiPriority w:val="99"/>
  </w:style>
  <w:style w:type="paragraph" w:styleId="762">
    <w:name w:val="Footer"/>
    <w:basedOn w:val="712"/>
    <w:link w:val="765"/>
    <w:pPr>
      <w:tabs>
        <w:tab w:val="center" w:pos="4677" w:leader="none"/>
        <w:tab w:val="right" w:pos="9355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 w:customStyle="1">
    <w:name w:val="Нижний колонтитул Знак"/>
    <w:link w:val="762"/>
    <w:uiPriority w:val="99"/>
  </w:style>
  <w:style w:type="table" w:styleId="766">
    <w:name w:val="Table Grid"/>
    <w:basedOn w:val="72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>
    <w:name w:val="Hyperlink"/>
    <w:rPr>
      <w:color w:val="0563c1"/>
      <w:u w:val="single"/>
    </w:rPr>
  </w:style>
  <w:style w:type="paragraph" w:styleId="893">
    <w:name w:val="footnote text"/>
    <w:basedOn w:val="712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12"/>
    <w:link w:val="897"/>
    <w:uiPriority w:val="99"/>
    <w:semiHidden/>
    <w:unhideWhenUsed/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12"/>
    <w:next w:val="712"/>
    <w:uiPriority w:val="39"/>
    <w:unhideWhenUsed/>
    <w:pPr>
      <w:spacing w:after="57"/>
    </w:pPr>
  </w:style>
  <w:style w:type="paragraph" w:styleId="900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01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0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0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0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0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0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0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12"/>
    <w:next w:val="712"/>
    <w:uiPriority w:val="99"/>
    <w:unhideWhenUsed/>
  </w:style>
  <w:style w:type="character" w:styleId="910">
    <w:name w:val="page number"/>
    <w:basedOn w:val="722"/>
  </w:style>
  <w:style w:type="paragraph" w:styleId="911" w:customStyle="1">
    <w:name w:val="Основной текст с отступом;Основной текст с отступом Знак1;Основной текст с отступом Знак Знак"/>
    <w:basedOn w:val="712"/>
    <w:link w:val="917"/>
    <w:pPr>
      <w:ind w:firstLine="720"/>
      <w:jc w:val="both"/>
    </w:pPr>
    <w:rPr>
      <w:sz w:val="28"/>
      <w:lang w:val="en-US" w:eastAsia="en-US"/>
    </w:rPr>
  </w:style>
  <w:style w:type="paragraph" w:styleId="912">
    <w:name w:val="Body Text Indent 3"/>
    <w:basedOn w:val="712"/>
    <w:link w:val="923"/>
    <w:pPr>
      <w:ind w:firstLine="720"/>
      <w:jc w:val="both"/>
    </w:pPr>
    <w:rPr>
      <w:b/>
      <w:sz w:val="28"/>
    </w:rPr>
  </w:style>
  <w:style w:type="paragraph" w:styleId="913">
    <w:name w:val="Body Text"/>
    <w:basedOn w:val="712"/>
    <w:pPr>
      <w:spacing w:after="120"/>
    </w:pPr>
  </w:style>
  <w:style w:type="paragraph" w:styleId="914" w:customStyle="1">
    <w:name w:val="Знак"/>
    <w:basedOn w:val="712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>
    <w:name w:val="Balloon Text"/>
    <w:basedOn w:val="712"/>
    <w:semiHidden/>
    <w:rPr>
      <w:rFonts w:ascii="Tahoma" w:hAnsi="Tahoma" w:cs="Tahoma"/>
      <w:sz w:val="16"/>
      <w:szCs w:val="16"/>
    </w:rPr>
  </w:style>
  <w:style w:type="paragraph" w:styleId="916" w:customStyle="1">
    <w:name w:val="ConsTitle"/>
    <w:pPr>
      <w:widowControl w:val="off"/>
    </w:pPr>
    <w:rPr>
      <w:rFonts w:ascii="Arial" w:hAnsi="Arial"/>
      <w:b/>
      <w:sz w:val="14"/>
      <w:lang w:eastAsia="ru-RU"/>
    </w:rPr>
  </w:style>
  <w:style w:type="character" w:styleId="917" w:customStyle="1">
    <w:name w:val="Основной текст с отступом Знак;Основной текст с отступом Знак1 Знак;Основной текст с отступом Знак Знак Знак"/>
    <w:link w:val="911"/>
    <w:rPr>
      <w:sz w:val="28"/>
    </w:rPr>
  </w:style>
  <w:style w:type="character" w:styleId="918" w:customStyle="1">
    <w:name w:val="apple-converted-space"/>
  </w:style>
  <w:style w:type="character" w:styleId="919" w:customStyle="1">
    <w:name w:val="extended-text__short"/>
  </w:style>
  <w:style w:type="paragraph" w:styleId="920" w:customStyle="1">
    <w:name w:val="article-render__block"/>
    <w:basedOn w:val="712"/>
    <w:pPr>
      <w:spacing w:before="100" w:beforeAutospacing="1" w:after="100" w:afterAutospacing="1"/>
    </w:pPr>
    <w:rPr>
      <w:sz w:val="24"/>
      <w:szCs w:val="24"/>
    </w:rPr>
  </w:style>
  <w:style w:type="paragraph" w:styleId="921">
    <w:name w:val="Body Text Indent 2"/>
    <w:basedOn w:val="712"/>
    <w:link w:val="922"/>
    <w:pPr>
      <w:ind w:left="283"/>
      <w:spacing w:after="120" w:line="480" w:lineRule="auto"/>
    </w:pPr>
  </w:style>
  <w:style w:type="character" w:styleId="922" w:customStyle="1">
    <w:name w:val="Основной текст с отступом 2 Знак"/>
    <w:basedOn w:val="722"/>
    <w:link w:val="921"/>
  </w:style>
  <w:style w:type="character" w:styleId="923" w:customStyle="1">
    <w:name w:val="Основной текст с отступом 3 Знак"/>
    <w:link w:val="912"/>
    <w:rPr>
      <w:b/>
      <w:sz w:val="28"/>
    </w:rPr>
  </w:style>
  <w:style w:type="paragraph" w:styleId="924" w:customStyle="1">
    <w:name w:val="components_paragraph_paragraph_module_paragraph"/>
    <w:basedOn w:val="712"/>
    <w:pPr>
      <w:spacing w:before="100" w:beforeAutospacing="1" w:after="100" w:afterAutospacing="1"/>
    </w:pPr>
    <w:rPr>
      <w:sz w:val="24"/>
      <w:szCs w:val="24"/>
    </w:rPr>
  </w:style>
  <w:style w:type="character" w:styleId="925" w:customStyle="1">
    <w:name w:val="Заголовок 2 Знак"/>
    <w:link w:val="714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926" w:customStyle="1">
    <w:name w:val="Основной текст с отступом1"/>
    <w:link w:val="927"/>
    <w:pPr>
      <w:ind w:left="283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eastAsia="ru-RU"/>
    </w:rPr>
  </w:style>
  <w:style w:type="paragraph" w:styleId="927" w:customStyle="1">
    <w:name w:val="Основной текст с отступом;Основной текст с отступом Знак1;Основной текст с отступом Знак Знак"/>
    <w:basedOn w:val="912"/>
    <w:link w:val="92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 w:val="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F57A-32C8-4CC8-B16A-244A9F4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mignat</dc:creator>
  <cp:revision>19</cp:revision>
  <dcterms:created xsi:type="dcterms:W3CDTF">2024-10-01T08:03:00Z</dcterms:created>
  <dcterms:modified xsi:type="dcterms:W3CDTF">2024-10-02T07:27:22Z</dcterms:modified>
  <cp:version>1048576</cp:version>
</cp:coreProperties>
</file>