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1.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которых не разграничена, в границах кадастрового квартала: 23:43:04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303073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289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12" w:before="0" w:after="0"/>
              <w:jc w:val="both"/>
              <w:rPr>
                <w:rFonts w:ascii="Calibri" w:hAnsi="Calibri" w:eastAsia="Calibri"/>
                <w:spacing w:val="-6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PT Astra Serif" w:ascii="PT Astra Serif" w:hAnsi="PT Astra Serif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Строительство объектов сетей водоотведения, необходимых для водоотведения населения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13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.1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2025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28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.12.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2025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; Технические условия подключения объекта капитального строительства к сетям водоснабжения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от 2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1.03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.2024 № ИД-3-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5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-24.</w:t>
      </w:r>
    </w:p>
    <w:sectPr>
      <w:type w:val="nextPage"/>
      <w:pgSz w:orient="landscape" w:w="16838" w:h="11906"/>
      <w:pgMar w:left="1134" w:right="962" w:gutter="0" w:header="0" w:top="87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Application>LibreOffice/24.8.4.2$Linux_X86_64 LibreOffice_project/480$Build-2</Application>
  <AppVersion>15.0000</AppVersion>
  <Pages>2</Pages>
  <Words>318</Words>
  <Characters>2332</Characters>
  <CharactersWithSpaces>2640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2025-11-18T10:21:48Z</cp:lastPrinted>
  <dcterms:modified xsi:type="dcterms:W3CDTF">2025-12-08T16:25:19Z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