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ДОКУМЕНТАЦИЯ ОБ ОТКРЫТОМ АУКЦИОНЕ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В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ЭЛЕКТРОННОЙ ФОРМЕ НА ПРАВО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ЗАКЛЮЧЕНИЯ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ДОГОВОРА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 ПРЕДОСТАВЛЕНИИ ПРАВА НА РАЗМЕЩЕНИЕ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НЕСТАЦИОНАРНОГО ТОРГОВОГО ОБЪЕКТА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НА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ТЕРРИТОРИИ МУНИЦИПАЛЬНОГО ОБРАЗОВАНИЯ ГОРОД КРАСНОДАР</w:t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Тип и специализация нестационарного торгового объекта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i/>
          <w:sz w:val="28"/>
          <w:szCs w:val="28"/>
          <w:u w:val="single"/>
        </w:rPr>
        <w:t xml:space="preserve">ЁЛОЧНЫЙ БАЗАР, ХВОЙНЫЕ ДЕРЕВЬЯ</w:t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i/>
          <w:u w:val="single"/>
        </w:rPr>
      </w:pPr>
      <w:r>
        <w:rPr>
          <w:rFonts w:ascii="PT Astra Serif" w:hAnsi="PT Astra Serif" w:eastAsia="PT Astra Serif" w:cs="PT Astra Serif"/>
          <w:i/>
          <w:u w:val="single"/>
        </w:rPr>
      </w:r>
      <w:r>
        <w:rPr>
          <w:rFonts w:ascii="PT Astra Serif" w:hAnsi="PT Astra Serif" w:cs="PT Astra Serif"/>
          <w:i/>
          <w:u w:val="single"/>
        </w:rPr>
      </w:r>
      <w:r>
        <w:rPr>
          <w:rFonts w:ascii="PT Astra Serif" w:hAnsi="PT Astra Serif" w:cs="PT Astra Serif"/>
          <w:i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left="-426"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Дата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время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открытого аукциона: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-426"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26» СЕНТЯБРЯ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2024 г.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14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:00 (по МСК.)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г. Краснодар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br w:type="page" w:clear="all"/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sdt>
      <w:sdtPr>
        <w15:appearance w15:val="boundingBox"/>
        <w:id w:val="2036465881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</w:sdtPr>
      <w:sdtContent>
        <w:p>
          <w:pPr>
            <w:pStyle w:val="863"/>
            <w:jc w:val="center"/>
            <w:spacing w:before="0" w:line="240" w:lineRule="auto"/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b/>
              <w:bCs/>
              <w:color w:val="auto"/>
              <w:sz w:val="28"/>
              <w:szCs w:val="28"/>
            </w:rPr>
            <w:t xml:space="preserve">Оглавление</w:t>
          </w:r>
          <w:r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r>
          <w:r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r>
        </w:p>
        <w:p>
          <w:pPr>
            <w:spacing w:after="0" w:line="240" w:lineRule="auto"/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  <w:lang w:eastAsia="ru-RU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</w:rPr>
            <w:fldChar w:fldCharType="begin"/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  <w:instrText xml:space="preserve"> TOC \o "1-3" \h \z \u </w:instrText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  <w:fldChar w:fldCharType="separate"/>
          </w:r>
          <w:hyperlink w:tooltip="#_Toc128319580" w:anchor="_Toc128319580" w:history="1">
            <w:r>
              <w:rPr>
                <w:rStyle w:val="865"/>
                <w:rFonts w:ascii="PT Astra Serif" w:hAnsi="PT Astra Serif" w:eastAsia="PT Astra Serif" w:cs="PT Astra Serif"/>
              </w:rPr>
              <w:t xml:space="preserve">1. Извещение о проведении открытого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71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1" w:anchor="_Toc128319581" w:history="1">
            <w:r>
              <w:rPr>
                <w:rStyle w:val="865"/>
                <w:rFonts w:ascii="PT Astra Serif" w:hAnsi="PT Astra Serif" w:eastAsia="PT Astra Serif" w:cs="PT Astra Serif"/>
              </w:rPr>
              <w:t xml:space="preserve">1.1. Основные термины и определения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5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2" w:anchor="_Toc128319582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2. Форма заявки на участие в аукционе и инструкцию по ее заполнению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_Toc128319582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3" w:anchor="_Toc128319583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3. Срок подачи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_Toc128319583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4" w:anchor="_Toc128319584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4. Перечень документов, прилагаемых к заявке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_Toc128319584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5" w:anchor="_Toc128319585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5. Сведения о порядке и сроках отзыва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_Toc128319585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6" w:anchor="_Toc128319586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6. Сведения о месте и дате рассмотрения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_Toc128319586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7" w:anchor="_Toc128319587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7. Порядок, даты начала и окончания предоставления участникам аукциона разъяснений положений документации об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_Toc128319587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8" w:anchor="_Toc128319588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8. Место, дата и время проведения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_Toc128319588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9" w:anchor="_Toc128319589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9. Требования к участникам аукциона, в том числе требование об отсутствии участников в реестре недобросовестных участников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_Toc128319589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0" w:anchor="_Toc128319590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10. Размер задатка, срок и порядок внесения задатка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1" w:anchor="_Toc128319591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11. Проект договора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2" w:anchor="_Toc128319592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12. Сведения о порядке определения победителя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_Toc128319592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14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3" w:anchor="_Toc128319593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13. 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_Toc128319593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16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4" w:anchor="_Toc128319594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_Toc128319594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16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5" w:anchor="_Toc128319595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15. Величина повышения начальной цены договора о предоставлении права на размещение НТО («шаг аукциона»)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_Toc128319595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6" w:anchor="_Toc128319596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16. Сведения о сроке, в течение которого должен быть подписан договор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_Toc128319596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7" w:anchor="_Toc128319597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17. Архитектурное решение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_Toc128319597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8" w:anchor="_Toc128319598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18. Специализация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_Toc128319598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9" w:anchor="_Toc128319599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19. Период и срок размещения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_Toc128319599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600" w:anchor="_Toc128319600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20. Сведения о проведении аукциона среди субъектов малого или среднего предпринимательства, осуществляющих торговую деятельность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_Toc128319600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601" w:anchor="_Toc128319601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21. Иная информация, касающаяся проведения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_Toc128319601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rPr>
              <w:rStyle w:val="865"/>
              <w:rFonts w:ascii="PT Astra Serif" w:hAnsi="PT Astra Serif" w:cs="PT Astra Serif"/>
              <w:b/>
              <w:color w:val="auto"/>
            </w:rPr>
          </w:pPr>
          <w:r>
            <w:rPr>
              <w:rFonts w:ascii="PT Astra Serif" w:hAnsi="PT Astra Serif" w:eastAsia="PT Astra Serif" w:cs="PT Astra Serif" w:eastAsiaTheme="minorEastAsia"/>
              <w:b/>
              <w:u w:val="single"/>
            </w:rPr>
            <w:t xml:space="preserve">П</w:t>
          </w:r>
          <w:r>
            <w:rPr>
              <w:rStyle w:val="865"/>
              <w:rFonts w:ascii="PT Astra Serif" w:hAnsi="PT Astra Serif" w:eastAsia="PT Astra Serif" w:cs="PT Astra Serif" w:eastAsiaTheme="minorHAnsi"/>
              <w:b/>
              <w:color w:val="auto"/>
            </w:rPr>
            <w:t xml:space="preserve">риложение № 1   Список объектов</w:t>
          </w:r>
          <w:r>
            <w:rPr>
              <w:rStyle w:val="865"/>
              <w:rFonts w:ascii="PT Astra Serif" w:hAnsi="PT Astra Serif" w:cs="PT Astra Serif"/>
              <w:b/>
              <w:color w:val="auto"/>
            </w:rPr>
          </w:r>
          <w:r>
            <w:rPr>
              <w:rStyle w:val="865"/>
              <w:rFonts w:ascii="PT Astra Serif" w:hAnsi="PT Astra Serif" w:cs="PT Astra Serif"/>
              <w:b/>
              <w:color w:val="auto"/>
            </w:rPr>
          </w:r>
        </w:p>
        <w:p>
          <w:pP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pPr>
          <w:r>
            <w:rPr>
              <w:rStyle w:val="865"/>
              <w:rFonts w:ascii="PT Astra Serif" w:hAnsi="PT Astra Serif" w:eastAsia="PT Astra Serif" w:cs="PT Astra Serif" w:eastAsiaTheme="minorHAnsi"/>
              <w:b/>
              <w:color w:val="auto"/>
            </w:rPr>
            <w:t xml:space="preserve">Приложение № 2  Форма заявки участия в аукционе</w:t>
          </w:r>
          <w:r>
            <w:rPr>
              <w:rFonts w:ascii="PT Astra Serif" w:hAnsi="PT Astra Serif" w:eastAsia="PT Astra Serif" w:cs="PT Astra Serif"/>
              <w:b/>
              <w:bCs/>
              <w:sz w:val="28"/>
              <w:szCs w:val="28"/>
            </w:rPr>
            <w:fldChar w:fldCharType="end"/>
          </w: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r>
        </w:p>
        <w:p>
          <w:pP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pP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  <w:t xml:space="preserve">Приложение № 3 Архитектурное решение НТО</w:t>
          </w: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r>
        </w:p>
      </w:sdtContent>
    </w:sdt>
    <w:p>
      <w:pPr>
        <w:spacing w:after="0" w:line="240" w:lineRule="auto"/>
        <w:rPr>
          <w:rFonts w:ascii="PT Astra Serif" w:hAnsi="PT Astra Serif" w:cs="PT Astra Serif"/>
          <w:b/>
          <w:sz w:val="28"/>
          <w:szCs w:val="20"/>
        </w:rPr>
      </w:pPr>
      <w:r>
        <w:rPr>
          <w:rFonts w:ascii="PT Astra Serif" w:hAnsi="PT Astra Serif" w:eastAsia="PT Astra Serif" w:cs="PT Astra Serif"/>
        </w:rPr>
        <w:br w:type="page" w:clear="all"/>
      </w:r>
      <w:r>
        <w:rPr>
          <w:rFonts w:ascii="PT Astra Serif" w:hAnsi="PT Astra Serif" w:cs="PT Astra Serif"/>
          <w:b/>
          <w:sz w:val="28"/>
          <w:szCs w:val="20"/>
        </w:rPr>
      </w:r>
      <w:r>
        <w:rPr>
          <w:rFonts w:ascii="PT Astra Serif" w:hAnsi="PT Astra Serif" w:cs="PT Astra Serif"/>
          <w:b/>
          <w:sz w:val="28"/>
          <w:szCs w:val="20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" w:name="_Toc128319580"/>
      <w:r>
        <w:rPr>
          <w:rFonts w:ascii="PT Astra Serif" w:hAnsi="PT Astra Serif" w:eastAsia="PT Astra Serif" w:cs="PT Astra Serif"/>
        </w:rPr>
        <w:t xml:space="preserve">1. Извещение о проведении открытого аукциона</w:t>
      </w:r>
      <w:bookmarkEnd w:id="1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990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14"/>
        <w:gridCol w:w="3260"/>
        <w:gridCol w:w="6116"/>
      </w:tblGrid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Наименование организатора аукциона, его место нахождение, почтовый адрес, адрес электронной почты, номер контактного телефона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г. Краснодар,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ул. Кузнечная, 6;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</w:rPr>
            </w:r>
            <w:hyperlink r:id="rId11" w:tooltip="mailto:dpr@krd.ru" w:history="1"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dpr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@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krd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.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; 8(861)2189818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311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Форма проведения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Дата, время, место проведения аукциона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26.09.2024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14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2" w:tooltip="https://www.roseltorg.ru" w:history="1">
              <w:r>
                <w:rPr>
                  <w:rFonts w:ascii="PT Astra Serif" w:hAnsi="PT Astra Serif" w:eastAsia="PT Astra Serif" w:cs="PT Astra Serif"/>
                  <w:b/>
                  <w:bCs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Предмет аукциона (с ука-занием лотов, количества НТО и мест их размещения)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W w:w="61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Приложение № 1 к извещению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blPrEx/>
        <w:trPr>
          <w:trHeight w:val="366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Минимальный ш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аг аукциона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Размер обеспечения заявки (задатка)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Порядок ознакомления претендентов на участие в аукционе с содержанием документации об аукционе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сайт электронной площадки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Адрес Интернет-портала и сайта электронной площадки, на котором размещена документация об аукционе;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Интернет-портал: </w:t>
            </w:r>
            <w:hyperlink r:id="rId13" w:tooltip="https://krd.ru/" w:history="1"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https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krd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ru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/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4" w:tooltip="https://www.roseltorg.ru" w:history="1"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предоставления разъяснений документации об аукционе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о быть ра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оформления заявок, даты начала и окончания приёма заявок на участие в аукционе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участия в аукционе претендент, получивший аккредитацию на электронной площадке, подает заявку на участие в аукционе.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вправе подать организатору торгов з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представляет на электронную площадку: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1) заявку на участие в аукционе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согласно приложению №2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, подписанную электронной подписью претендента на участие в аукционе и содержащую следующую информацию: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дического лица, индивидуального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2) документ, подтверждающий полномочия лица на осуще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3) учредительные документы претендента на участие в аукционе (для юридического лица);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  <w:t xml:space="preserve">Претендент на участие в аукционе подаёт только одну заявку на участие в аукционе в отношении одного лота.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  <w:t xml:space="preserve">Заявка на участие в аукционе направляется претендентом на участие в аукционе из личного кабинета электронной площадки.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ат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а начала приёма заявок: 26.08.2024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Дата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 оконча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ния приёма заявок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16.09.2024 12:00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Место, дата и время рассмотрения заявок и подведение итогов</w:t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Управление торговли, ул. Кузнечная, 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Допуск претендентов к участию в аукционе: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ата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20.09.2024 в 11:00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Подведение итогов аукциона: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Дата: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01.10.2024 в 11:00</w:t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определения победителя аукциона или победителя, уклонившегося от заключения договора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contextualSpacing w:val="0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образования город Краснодар.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Способ уведомления об итогах проведения аукциона</w:t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lang w:val="ru-RU"/>
              </w:rPr>
              <w:t xml:space="preserve"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0"/>
        <w:rPr>
          <w:rFonts w:ascii="PT Astra Serif" w:hAnsi="PT Astra Serif" w:cs="PT Astra Serif"/>
          <w:highlight w:val="none"/>
        </w:rPr>
        <w:outlineLvl w:val="1"/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860"/>
        <w:rPr>
          <w:rFonts w:ascii="PT Astra Serif" w:hAnsi="PT Astra Serif" w:eastAsia="PT Astra Serif" w:cs="PT Astra Serif"/>
          <w:highlight w:val="none"/>
        </w:rPr>
        <w:outlineLvl w:val="1"/>
      </w:pPr>
      <w:r>
        <w:rPr>
          <w:rFonts w:ascii="PT Astra Serif" w:hAnsi="PT Astra Serif" w:eastAsia="PT Astra Serif" w:cs="PT Astra Serif"/>
        </w:rPr>
      </w:r>
      <w:bookmarkStart w:id="2" w:name="_Toc128319581"/>
      <w:r>
        <w:rPr>
          <w:rFonts w:ascii="PT Astra Serif" w:hAnsi="PT Astra Serif" w:eastAsia="PT Astra Serif" w:cs="PT Astra Serif"/>
        </w:rPr>
        <w:t xml:space="preserve">1.1. Основные термины и определения</w:t>
      </w:r>
      <w:bookmarkEnd w:id="2"/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Для целей настояще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й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документации об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аукцион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применяются следующие основные термины и определения: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аккредитация - предоставление участнику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аукционная комиссия - коллегиальный орган, создан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ный для проведения открытого аукциона на право заключения договора о предоставлении права на размещение НТО и определения победителей аукциона. Состав аукционной комиссии утверждается постановлением администрации муниципального образования город Краснодар;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i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инициатор и организатор торгов - администрация муниципального образования город Краснодар, в лице управления торговли и бытового обслуживания населения администрации муниципального образования город Краснодар (далее - управление);</w:t>
      </w:r>
      <w:r>
        <w:rPr>
          <w:rFonts w:ascii="PT Astra Serif" w:hAnsi="PT Astra Serif" w:eastAsia="PT Astra Serif" w:cs="PT Astra Serif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нестационарный торговый объект (НТО) - торговый объект, представляющий собой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оператор электронной площадки - юридическое лицо независимо от его организационно-правовой формы, формы собственности, места нахож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дения или индивидуальный предприниматель, которые владеют электронной площадкой, необходимыми для её функционирования программно-аппаратными средствами и обеспечивают проведение электронных аукционов в соответствии с законодательством Российской Федерации;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открытый аукцион в электронной форме на право заключения договора о предоставлении права на размещение НТО на территории муниципального образования город Краснодар (аукцион) -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способ определения субъекта торговли, при котором победителем признаётся участник аукциона, предложивший наиболее высокую цену за право на заключение договора о предоставлении права на размещение НТО, а также в случаях, установленных Порядком организации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утверждённым постановлением адм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Краснодар», единственный участник аукциона (далее - победитель аукциона);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официальный источник публикации информации о проведении аукциона - официальный Интернет-портал администрации муниципального образования город Краснодар и городской Думы Краснодара: </w:t>
      </w:r>
      <w:hyperlink r:id="rId15" w:tooltip="http://www.krd.ru" w:history="1">
        <w:r>
          <w:rPr>
            <w:rStyle w:val="865"/>
            <w:rFonts w:ascii="PT Astra Serif" w:hAnsi="PT Astra Serif" w:eastAsia="PT Astra Serif" w:cs="PT Astra Serif"/>
            <w:sz w:val="24"/>
            <w:szCs w:val="24"/>
          </w:rPr>
          <w:t xml:space="preserve">www.krd.ru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(далее - Интернет-порт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ал) и сайт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электронной площадки: </w:t>
      </w:r>
      <w:hyperlink r:id="rId16" w:tooltip="https://www.roseltorg.ru" w:history="1">
        <w:r>
          <w:rPr>
            <w:rStyle w:val="865"/>
            <w:rFonts w:ascii="PT Astra Serif" w:hAnsi="PT Astra Serif" w:eastAsia="PT Astra Serif" w:cs="PT Astra Serif"/>
            <w:sz w:val="24"/>
            <w:szCs w:val="24"/>
          </w:rPr>
          <w:t xml:space="preserve">https://www.roseltorg.ru</w:t>
        </w:r>
      </w:hyperlink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претендент на участие в аукционе - лицо, подавшее заявку на участие в аукционе;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регламент электронной площадки - документ, определяющий процедуру проведения аукциона на электронной площадке;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счёт участника аукциона - счёт, открываемый оператором электронной площадки на основании заявления участника после прохождения процедуры аккредитации на электронной площадке;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участник аукциона - юридическое лицо, индивидуальный предприниматель или самозанятое физическое лицо, подавшие заявку на участие в аукционе и допущенные к участию в аукционе;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электронный документ - документ, в котором информация представлена в электронно-цифровой форме, в том числе сканированные версии бумажных документов;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эл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4" w:name="_Toc128319582"/>
      <w:r>
        <w:rPr>
          <w:rFonts w:ascii="PT Astra Serif" w:hAnsi="PT Astra Serif" w:eastAsia="PT Astra Serif" w:cs="PT Astra Serif" w:eastAsiaTheme="minorHAnsi"/>
        </w:rPr>
        <w:t xml:space="preserve">2. Форма заявки на участие в аукционе и инструкцию по ее заполнению</w:t>
      </w:r>
      <w:bookmarkEnd w:id="4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  <w:t xml:space="preserve">Заявка на участие в аукционе соответствует форме, установленной приложением </w:t>
      </w:r>
      <w:r>
        <w:rPr>
          <w:rFonts w:ascii="PT Astra Serif" w:hAnsi="PT Astra Serif" w:eastAsia="PT Astra Serif" w:cs="PT Astra Serif"/>
          <w:sz w:val="24"/>
        </w:rPr>
        <w:t xml:space="preserve">    </w:t>
      </w:r>
      <w:r>
        <w:rPr>
          <w:rFonts w:ascii="PT Astra Serif" w:hAnsi="PT Astra Serif" w:eastAsia="PT Astra Serif" w:cs="PT Astra Serif"/>
          <w:sz w:val="24"/>
        </w:rPr>
        <w:t xml:space="preserve">№ </w:t>
      </w:r>
      <w:r>
        <w:rPr>
          <w:rFonts w:ascii="PT Astra Serif" w:hAnsi="PT Astra Serif" w:eastAsia="PT Astra Serif" w:cs="PT Astra Serif"/>
          <w:sz w:val="24"/>
        </w:rPr>
        <w:t xml:space="preserve">2</w:t>
      </w:r>
      <w:r>
        <w:rPr>
          <w:rFonts w:ascii="PT Astra Serif" w:hAnsi="PT Astra Serif" w:eastAsia="PT Astra Serif" w:cs="PT Astra Serif"/>
          <w:sz w:val="24"/>
        </w:rPr>
        <w:t xml:space="preserve"> к документации об аукционе.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5" w:name="_Toc128319583"/>
      <w:r>
        <w:rPr>
          <w:rFonts w:ascii="PT Astra Serif" w:hAnsi="PT Astra Serif" w:eastAsia="PT Astra Serif" w:cs="PT Astra Serif" w:eastAsiaTheme="minorHAnsi"/>
        </w:rPr>
        <w:t xml:space="preserve">3. Срок подачи заявок на участие в аукционе</w:t>
      </w:r>
      <w:bookmarkEnd w:id="5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участия в аукционе претендент, получивший аккредитацию на электронной площадке, подает заявку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вправе подать организатору торгов з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  <w:u w:val="single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Срок подачи заявок на участие в аукционе: </w:t>
      </w:r>
      <w:r>
        <w:rPr>
          <w:rFonts w:ascii="PT Astra Serif" w:hAnsi="PT Astra Serif" w:eastAsia="PT Astra Serif" w:cs="PT Astra Serif" w:eastAsiaTheme="minorHAnsi"/>
          <w:bCs/>
          <w:sz w:val="24"/>
          <w:u w:val="single"/>
        </w:rPr>
        <w:t xml:space="preserve">с 26.08.2024 по 16.09.2024</w:t>
      </w:r>
      <w:r>
        <w:rPr>
          <w:rFonts w:ascii="PT Astra Serif" w:hAnsi="PT Astra Serif" w:cs="PT Astra Serif"/>
          <w:bCs/>
          <w:sz w:val="24"/>
          <w:u w:val="single"/>
        </w:rPr>
      </w:r>
      <w:r>
        <w:rPr>
          <w:rFonts w:ascii="PT Astra Serif" w:hAnsi="PT Astra Serif" w:cs="PT Astra Serif"/>
          <w:bCs/>
          <w:sz w:val="24"/>
          <w:u w:val="single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6" w:name="_Toc128319584"/>
      <w:r>
        <w:rPr>
          <w:rFonts w:ascii="PT Astra Serif" w:hAnsi="PT Astra Serif" w:eastAsia="PT Astra Serif" w:cs="PT Astra Serif" w:eastAsiaTheme="minorHAnsi"/>
        </w:rPr>
        <w:t xml:space="preserve">4. Перечень документов, прилагаемых к заявке на участие в аукционе</w:t>
      </w:r>
      <w:bookmarkEnd w:id="6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представляет на электронную площадку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: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1) заявку на участие в аукционе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согласно приложению №2 к аукционной документации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, подписанную электронной подписью претендента на участие в аукционе и содержащую следующую информацию: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дического лица, индивидуального п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редпринимателя 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PT Astra Serif" w:hAnsi="PT Astra Serif" w:cs="PT Astra Serif" w:eastAsiaTheme="minorHAnsi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2) документ, подтверждающий полномочия лица на осуще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</w:r>
      <w:r>
        <w:rPr>
          <w:rFonts w:ascii="PT Astra Serif" w:hAnsi="PT Astra Serif" w:cs="PT Astra Serif" w:eastAsiaTheme="minorHAnsi"/>
          <w:sz w:val="24"/>
          <w:szCs w:val="24"/>
        </w:rPr>
      </w:r>
      <w:r>
        <w:rPr>
          <w:rFonts w:ascii="PT Astra Serif" w:hAnsi="PT Astra Serif" w:cs="PT Astra Serif" w:eastAsiaTheme="minorHAnsi"/>
          <w:sz w:val="24"/>
          <w:szCs w:val="24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3) учредительные документы претендента на участие в аукционе (для юридического лица);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  <w:highlight w:val="none"/>
        </w:rPr>
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подает только одну заявку на участие в аукционе в отношении одного лота.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Заявка на участие в аукционе направляется претендентом на участие в аукционе из личного кабинета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7" w:name="_Toc128319585"/>
      <w:r>
        <w:rPr>
          <w:rFonts w:ascii="PT Astra Serif" w:hAnsi="PT Astra Serif" w:eastAsia="PT Astra Serif" w:cs="PT Astra Serif" w:eastAsiaTheme="minorHAnsi"/>
        </w:rPr>
        <w:t xml:space="preserve">5. Сведения о порядке и сроках отзыва заявок на участие в аукционе</w:t>
      </w:r>
      <w:bookmarkEnd w:id="7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аукционе, подавший заявку на участие в аукционе, вправе отозвать такую заявку не позднее окончания срока подачи заявок, направив об этом уведомление в управление посредством ф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ункционала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Любой участник аукциона, з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 исключением участников, занявших первые два места в соответствии с протоколом о результатах аукциона, вправе отозвать свою заявку, направив уведомление об этом оператору электронной площадки с момента размещения на сайте протокола о результатах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одного рабочего дня со дня поступления уведомления об отзыве заявки оператор электронной площадки прекращает осуществлённое блокирование операций по счёту для проведения опе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аукциона. При этом регистрационные номера заявок других участников не изменяются.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8" w:name="_Toc128319586"/>
      <w:r>
        <w:rPr>
          <w:rFonts w:ascii="PT Astra Serif" w:hAnsi="PT Astra Serif" w:eastAsia="PT Astra Serif" w:cs="PT Astra Serif" w:eastAsiaTheme="minorHAnsi"/>
        </w:rPr>
        <w:t xml:space="preserve">6. Сведения о месте и дате рассмотрения заявок на участие в аукционе</w:t>
      </w:r>
      <w:bookmarkEnd w:id="8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56"/>
        <w:contextualSpacing w:val="0"/>
        <w:ind w:left="0"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Управление торговли и бытового обслуживания населения администрации муниципального образования город Краснодар, ул. Кузнечная, 6.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56"/>
        <w:contextualSpacing w:val="0"/>
        <w:ind w:left="0"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Дата и время рассмотрения заявок: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20.09.2024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в 11:00.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9" w:name="_Toc128319587"/>
      <w:r>
        <w:rPr>
          <w:rFonts w:ascii="PT Astra Serif" w:hAnsi="PT Astra Serif" w:eastAsia="PT Astra Serif" w:cs="PT Astra Serif" w:eastAsiaTheme="minorHAnsi"/>
        </w:rPr>
        <w:t xml:space="preserve">7. Порядок, даты начала и окончания предоставления участникам аукциона разъяснений положений документации об аукционе</w:t>
      </w:r>
      <w:bookmarkEnd w:id="9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 быть размещено управлением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Управление по собственной инициативе или в соответствии с запросом заинтересованного лица вправе принять решение о внесении изменений в документацию об 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укционе не позднее чем за 5 рабочих дней до даты окончания подачи заявок на участие в аукционе. Изменение предмета аукциона не допускается. В течение одного рабочего дня с даты принятия указанного решения такие изменения размещаются управлением в порядке,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установленном для размещения на сайте электронной площадки извещения о проведении аукциона. При этом срок подачи заявок на уча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стие в аукционе должен быть продлен таким образом, чтобы с даты размещения на сайте электронной площадки изменений, внесенных в документацию об аукционе, до даты окончания срока подачи заявок на участие в аукционе он составлял не менее 15 календарных дней.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0" w:name="_Toc128319588"/>
      <w:r>
        <w:rPr>
          <w:rFonts w:ascii="PT Astra Serif" w:hAnsi="PT Astra Serif" w:eastAsia="PT Astra Serif" w:cs="PT Astra Serif" w:eastAsiaTheme="minorHAnsi"/>
        </w:rPr>
        <w:t xml:space="preserve">8. Место, дата и время проведения аукциона</w:t>
      </w:r>
      <w:bookmarkEnd w:id="10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color w:val="ff0000"/>
        </w:rPr>
      </w:pPr>
      <w:r>
        <w:rPr>
          <w:rFonts w:ascii="PT Astra Serif" w:hAnsi="PT Astra Serif" w:eastAsia="PT Astra Serif" w:cs="PT Astra Serif" w:eastAsiaTheme="minorHAnsi"/>
          <w:bCs/>
          <w:color w:val="ff0000"/>
        </w:rPr>
      </w:r>
      <w:r>
        <w:rPr>
          <w:rFonts w:ascii="PT Astra Serif" w:hAnsi="PT Astra Serif" w:cs="PT Astra Serif"/>
          <w:bCs/>
          <w:color w:val="ff0000"/>
        </w:rPr>
      </w:r>
      <w:r>
        <w:rPr>
          <w:rFonts w:ascii="PT Astra Serif" w:hAnsi="PT Astra Serif" w:cs="PT Astra Serif"/>
          <w:bCs/>
          <w:color w:val="ff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Аукцион является открытым по составу участников и проводится в форме электронного аукциона.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highlight w:val="none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Дата и время проведения аукциона: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 26.09.2024</w:t>
      </w:r>
      <w:r>
        <w:rPr>
          <w:rFonts w:ascii="PT Astra Serif" w:hAnsi="PT Astra Serif" w:eastAsia="PT Astra Serif" w:cs="PT Astra Serif"/>
          <w:b/>
          <w:sz w:val="24"/>
          <w:szCs w:val="24"/>
          <w:u w:val="single"/>
        </w:rPr>
        <w:t xml:space="preserve"> 14</w:t>
      </w:r>
      <w:r>
        <w:rPr>
          <w:rFonts w:ascii="PT Astra Serif" w:hAnsi="PT Astra Serif" w:eastAsia="PT Astra Serif" w:cs="PT Astra Serif"/>
          <w:b/>
          <w:sz w:val="24"/>
          <w:szCs w:val="24"/>
          <w:u w:val="single"/>
        </w:rPr>
        <w:t xml:space="preserve">.00.</w:t>
      </w:r>
      <w:r>
        <w:rPr>
          <w:rFonts w:ascii="PT Astra Serif" w:hAnsi="PT Astra Serif" w:cs="PT Astra Serif"/>
          <w:b/>
          <w:bCs/>
          <w:sz w:val="24"/>
          <w:szCs w:val="24"/>
          <w:highlight w:val="none"/>
          <w:u w:val="singl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  <w:u w:val="none"/>
        </w:rPr>
        <w:t xml:space="preserve">Место проведения аукциона: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  <w:lang w:val="ru-RU"/>
        </w:rPr>
        <w:t xml:space="preserve">Электронная площадка: </w:t>
      </w:r>
      <w:hyperlink r:id="rId17" w:tooltip="https://www.roseltorg.ru" w:history="1">
        <w:r>
          <w:rPr>
            <w:rFonts w:ascii="PT Astra Serif" w:hAnsi="PT Astra Serif" w:eastAsia="PT Astra Serif" w:cs="PT Astra Serif"/>
            <w:b/>
            <w:bCs/>
            <w:sz w:val="24"/>
            <w:szCs w:val="24"/>
            <w:u w:val="single"/>
            <w:lang w:val="ru-RU"/>
          </w:rPr>
          <w:t xml:space="preserve">https://www.roseltorg.ru</w:t>
        </w:r>
      </w:hyperlink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4"/>
          <w:szCs w:val="24"/>
          <w:u w:val="non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  <w:u w:val="non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u w:val="non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u w:val="none"/>
        </w:rPr>
      </w:r>
    </w:p>
    <w:p>
      <w:pPr>
        <w:pStyle w:val="860"/>
        <w:ind w:left="708" w:firstLine="70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1" w:name="_Toc128319589"/>
      <w:r>
        <w:rPr>
          <w:rFonts w:ascii="PT Astra Serif" w:hAnsi="PT Astra Serif" w:eastAsia="PT Astra Serif" w:cs="PT Astra Serif" w:eastAsiaTheme="minorHAnsi"/>
        </w:rPr>
        <w:t xml:space="preserve">9. Требования к участникам аукциона, в том числе требование об отсутствии участников в реестре недобросовестных участников </w:t>
      </w:r>
      <w:r>
        <w:rPr>
          <w:rFonts w:ascii="PT Astra Serif" w:hAnsi="PT Astra Serif" w:eastAsia="PT Astra Serif" w:cs="PT Astra Serif" w:eastAsiaTheme="minorHAnsi"/>
        </w:rPr>
        <w:t xml:space="preserve">а</w:t>
      </w:r>
      <w:r>
        <w:rPr>
          <w:rFonts w:ascii="PT Astra Serif" w:hAnsi="PT Astra Serif" w:eastAsia="PT Astra Serif" w:cs="PT Astra Serif" w:eastAsiaTheme="minorHAnsi"/>
        </w:rPr>
        <w:t xml:space="preserve">укциона</w:t>
      </w:r>
      <w:bookmarkEnd w:id="11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вправе участвовать юридические лица, индивидуальные предпринимате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ли или самозанятые физические лица: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1) экономическая деятельность котор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ых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не приостановлена в порядке, предусмотренном Кодексом Российской Федерации об административных правонарушениях;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2) не находящ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еся в процессе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ликвидации (в отношении юридических лиц) или в случае отсутствия решения арбитражного суда о признании юридического лица (юридического лица, индивидуального предпринимателя и самозанятого физического лица) банкротом и об открытии конкурсного производства;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3) не имеющ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в течение 12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месяцев, предшествующих месяцу, в котором размещено извещение о проведении аукциона, нарушений обязательств по заключенным ранее договорам о предоставлении права на размещение НТО на территории муниципального образования город Краснодар, подтвержденных до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4) в установленном порядке вн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ё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сш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обеспечение заявки на участие в аукционе;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5) имеющ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правомочность участника аукциона принимать участие в аукционе и заключать договор.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2" w:name="_Toc128319590"/>
      <w:r>
        <w:rPr>
          <w:rFonts w:ascii="PT Astra Serif" w:hAnsi="PT Astra Serif" w:eastAsia="PT Astra Serif" w:cs="PT Astra Serif" w:eastAsiaTheme="minorHAnsi"/>
        </w:rPr>
        <w:t xml:space="preserve">10. Размер задатка, срок и порядок внесения задатка</w:t>
      </w:r>
      <w:bookmarkEnd w:id="12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10.1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Размер задатка в отношении Лота установлен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в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однократном размере от начальной цены открытого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Обеспечение заявок на участие в электронном аукционе представляется в виде задатка.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10.2. Для выполнения условий об аукционе и допуска к участию в аукционе каждый заявитель перечисляет на электронную торговую площадку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задаток в размере, указанном в аукционной документации, в порядке и в сроки, утвержденные регламентом электронной площадки.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10.3. Задатки возвращаются: 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участникам аукциона, за исключением победителя и участника аукциона, который сделал предпоследнее предложение о цене предмета аукциона, в течение 5 (пяти) рабочих дней со дня опубликования протокола о результатах аукциона;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заявителям, не допущенным к участию в аукционе, в течение 5 (пяти) рабочих дней со дня опубликования протокола о рассмотрении заявок.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10.4. Разблокирование денежных средств осуществляется в порядке и сроки, согласно регламенту электронной  площадки.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10.5. Задатки не возвращаются: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единственному заявителю, заявка которого признана комиссией соответствующей аукционной документации, уклонившемуся или отказавшемуся от заключения Договора;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победителю аукциона, заявка которого признана комиссией соответствующей аукционной документации, уклонившемуся или отказавшемуся от заключения Договора по результатам аукциона;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10.6. Сумма задатка, внесенного участником, с которым заключен Договор, засчитывается в счет оплаты Договора путем перечисления Оператором электронной площадки на счет, указанный организатором</w:t>
      </w:r>
      <w:r>
        <w:rPr>
          <w:rFonts w:ascii="PT Astra Serif" w:hAnsi="PT Astra Serif" w:eastAsia="PT Astra Serif" w:cs="PT Astra Serif" w:eastAsiaTheme="minorHAnsi"/>
          <w:sz w:val="24"/>
        </w:rPr>
        <w:t xml:space="preserve"> аукциона для оплаты Договора.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3" w:name="_Toc128319591"/>
      <w:r>
        <w:rPr>
          <w:rFonts w:ascii="PT Astra Serif" w:hAnsi="PT Astra Serif" w:eastAsia="PT Astra Serif" w:cs="PT Astra Serif" w:eastAsiaTheme="minorHAnsi"/>
        </w:rPr>
        <w:t xml:space="preserve">11. Проект договора о предоставлении права на размещение НТО</w:t>
      </w:r>
      <w:bookmarkEnd w:id="13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3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4"/>
        <w:gridCol w:w="4822"/>
      </w:tblGrid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ДОГОВОР №  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 пред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оставлении права на размещение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сезонного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нестационарного торгового объекта на территории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муниципального образования город Краснодар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г. Краснодар                                                                                                «____» ___________ 20___ г.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Администрация муниципального образования город Краснодар, именуемая в дальнейшем "Администрация", в лице начальника (первого заместителя начальника) управления торговли и бытового обсл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уживания населения администрации муниципального образования город Краснодар (далее - управление), действующего на основании доверенности № ____ от _________, с одной стороны и _______________________________________________________________________________,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(наименование организации, Ф.И.О. индивидуального предпринимателя, самозанятого физического лица)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>
          <w:trHeight w:val="273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лице _________________________________________________________________________,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(должность, Ф.И.О.)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действующего на основании _________________________, именуемого в дальнейшем "Правополучатель", с другой стороны, а вместе именуемые "Стороны", заключили настоящий Договор о нижеследующем: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1. Предмет Договора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>
          <w:trHeight w:val="1192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4" w:name="Par16"/>
            <w:r>
              <w:rPr>
                <w:rFonts w:ascii="PT Astra Serif" w:hAnsi="PT Astra Serif" w:eastAsia="PT Astra Serif" w:cs="PT Astra Serif"/>
              </w:rPr>
            </w:r>
            <w:bookmarkEnd w:id="14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1.1. На основании протокола аукционной комиссии по предоставлению права н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 размещение нестационарных торговых объектов на территории муниципального образования город Краснодар от _____________ № ______ Администрация предоставляет Правополучателю право на размещение сезонного нестационарного торгового объекта (далее - Объект):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>
          <w:trHeight w:val="23"/>
        </w:trPr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(тип объекта)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для осуществления торговой деятельности 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Borders>
              <w:top w:val="single" w:color="auto" w:sz="4" w:space="0"/>
            </w:tcBorders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(</w:t>
            </w: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специализация)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 адресу: 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(место расположения объекта)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 срок с _________ по _________ с периодом размещения (функционирования) с ____ по ________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(число, месяц)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 Права и обязанности Сторон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 Администрация вправе: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2.1.1. Осуществлять мероприятия по проверке соблюдения Правополучателем условий Договора и требований к размещению и эксплуатации Объекта в соответствии с </w:t>
            </w:r>
            <w:hyperlink r:id="rId18" w:tooltip="consultantplus://offline/ref=1218D3E2E8B0236D4DDC10D3C996584244E9E6E20184CBB970B3D9E57F0E06ACC7DDBE411D63414BF2D58B1A40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разделом II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Положения о размещении нестационарных торговых объектов на территории муниципального образования город Краснодар, утвержденного постановлением администрации муниципального образования город Краснодар от _________ № _____ (далее - Положение).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2.1.2. Демонтировать за счет Правополучателя установленные им конструкции в случае неисполнения Правополучателем обязанности, указанной в </w:t>
            </w:r>
            <w:hyperlink w:tooltip="#Par53" w:anchor="Par53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подпункте 2.3.7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2.2. Администрация обязуется обеспечить методическую и консультационную помощь Правополучателю в вопросах организации торговли и предоставления услуг населению.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 Правополучатель обязуется: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5" w:name="Par34"/>
            <w:r>
              <w:rPr>
                <w:rFonts w:ascii="PT Astra Serif" w:hAnsi="PT Astra Serif" w:eastAsia="PT Astra Serif" w:cs="PT Astra Serif"/>
              </w:rPr>
            </w:r>
            <w:bookmarkEnd w:id="15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2.3.1. Использовать Объект в соответствии с назначением, указанным в </w:t>
            </w:r>
            <w:hyperlink w:tooltip="#Par16" w:anchor="Par1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пункте 1.1 раздела 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Договора, без передачи права владения и пользования Объектом третьим лицам.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2.3.2. Обеспечить установку Объекта и его готовность к работе в соответствии с требованиями к размещению и эксплуатации нестационарного торгового объекта, предусмотренными разделом </w:t>
            </w:r>
            <w:r>
              <w:rPr>
                <w:rFonts w:ascii="PT Astra Serif" w:hAnsi="PT Astra Serif" w:eastAsia="PT Astra Serif" w:cs="PT Astra Serif" w:eastAsiaTheme="minorHAnsi"/>
                <w:bCs/>
                <w:lang w:val="en-US"/>
              </w:rPr>
              <w:t xml:space="preserve">II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Положения, архитектурным решением и графическим планом размещения Объекта (приложение к настоящему Договору).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6" w:name="Par35"/>
            <w:r>
              <w:rPr>
                <w:rFonts w:ascii="PT Astra Serif" w:hAnsi="PT Astra Serif" w:eastAsia="PT Astra Serif" w:cs="PT Astra Serif"/>
              </w:rPr>
            </w:r>
            <w:bookmarkEnd w:id="16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2.3.3. Приступить к эксплуатации Объекта после заключения договоров на санитарную уборку территории, вывоз твердых коммунальных и жидких отходов, на подключение к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источникам энергообеспечения (последнее - при необходимости) со специализированными организациями, индивидуальными предпринимателями.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7" w:name="Par36"/>
            <w:r>
              <w:rPr>
                <w:rFonts w:ascii="PT Astra Serif" w:hAnsi="PT Astra Serif" w:eastAsia="PT Astra Serif" w:cs="PT Astra Serif"/>
              </w:rPr>
            </w:r>
            <w:bookmarkEnd w:id="17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2.3.4. Обеспечить выполнение установленных законодательством Российской Федерации торг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овых, санитарных и противопожарных норм и правил организации работы для данного Объекта, соблюдение чистоты и порядка на прилегающей территории в соответствии с установленными Правилами благоустройства территории муниципального образования город Краснодар.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8" w:name="Par37"/>
            <w:r>
              <w:rPr>
                <w:rFonts w:ascii="PT Astra Serif" w:hAnsi="PT Astra Serif" w:eastAsia="PT Astra Serif" w:cs="PT Astra Serif"/>
              </w:rPr>
            </w:r>
            <w:bookmarkEnd w:id="18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2.3.5. Обеспечить постоянное наличие на Объекте и предъявление по требованию контролирующих органов, проверяющих работников управления следующих документов: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настоящего Договора и графического </w:t>
            </w:r>
            <w:hyperlink r:id="rId19" w:tooltip="consultantplus://offline/ref=1218D3E2E8B0236D4DDC10D3C996584244E9E6E20184CBB970B3D9E57F0E06ACC7DDBE411D63414BF2D48A1B49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плана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размещения Объекта (приложение к настоящему Договору);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вывески Объекта с указанием наименования организации, места ее нахождения (адреса) и режима ее работы;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информации о государственной регистрации в качестве юридического лица, индивидуального предпринимателя или самозанятого физического лица и наименовании зарегистрировавшего его органа;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подтверждающих источник поступления, качество и безопасность реализуемой продукции;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личные медицинские книжки работников Объекта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предусмотренных </w:t>
            </w:r>
            <w:hyperlink r:id="rId20" w:tooltip="consultantplus://offline/ref=1218D3E2E8B0236D4DDC0EDEDFFA074847E1BBED0A82C2E628E4DFB2205E00F9959DE0185F23524AF0CB891343k27E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Законом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Российской Федерации от 07.02.92 № 2300-1 "О защите прав потребителей";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трудовых договоров лиц, работающих на Объекте, за исключением индивидуальных предпринимателей, осуществляющих торговую деятельность самостоятельно и самозанятых физических лиц.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9" w:name="Par45"/>
            <w:r>
              <w:rPr>
                <w:rFonts w:ascii="PT Astra Serif" w:hAnsi="PT Astra Serif" w:eastAsia="PT Astra Serif" w:cs="PT Astra Serif"/>
              </w:rPr>
            </w:r>
            <w:bookmarkEnd w:id="19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2.3.6.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Ежемесячно продлевать графический план разме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щения Объекта при условии внесения предложенной им суммы за право на размещение сезонного нестационарного торгового объекта на территории муниципального образования город Краснодар в размере ________ руб. (_________ рублей) в срок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 позднее 25-го числа месяца, предшествующего оплачиваемому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месяцу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 перечисляемой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в местный бюджет (бюджет муниципального образования город Краснодар) по следующим реквизитам: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Получатель: Администрация муниципального образования город Краснодар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Назначение платежа: «Плата за право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 размещение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сезонного НТО по Договору № ____».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Сумма оплаты за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первый месяц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срока действия настоящего Договора подлежит перечислению в местный бюджет (бюджет муниципального образования город Краснодар) в течение 3 (трех) банковских дней с момента его подписания.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Сумма платежа за право на размещение Объекта на территории муниципального образования город Краснодар за последний неполный месяц определяется пропорционально времени размещения Объекта в течение данного месяца.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случае невнесения платы в установленный Договором срок Правополучатель оплачивает пеню за каждый день просрочки в размере 0,2% от размера оплаты по До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говору.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20" w:name="Par53"/>
            <w:r>
              <w:rPr>
                <w:rFonts w:ascii="PT Astra Serif" w:hAnsi="PT Astra Serif" w:eastAsia="PT Astra Serif" w:cs="PT Astra Serif"/>
              </w:rPr>
            </w:r>
            <w:bookmarkEnd w:id="20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2.3.7. Освободить занимаемую территорию от Объекта (его конструкций) и привести ее в первоначальное состояние в течение 7 (семи) календарных дней: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 истечении срока действия настоящего Договора;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при досрочном расторжении (отказе Администрации от) настоящего Договора в случаях, предусмотренных разделом 3 настоящего Договора.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 Прекращение действия Договора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3.1. Действие настоящего Договора прекращается по истечении срока, указанного в </w:t>
            </w:r>
            <w:hyperlink w:tooltip="#Par16" w:anchor="Par1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пункте 1.1 раздела 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Договора, а также в случаях и в порядке, установленных законодательством Российской Федерации.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3.2. Настоящий Договор может быть расторгнут досрочно по соглашению Сторон.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Расторжение настоящего Договора по соглашению Сторон возможно только при отсутствии у Правополучателя задолженности по оплате за Объект.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3.3. По требованию одной из Сторон настоящий Договор может быть расторгнут досрочно в судебном порядке по основаниям, предусмотренным действующим законодательством Российской Федерации и настоящим Договором.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3.4. Администрация вправе в одностороннем порядке отказаться от настоящего Договора, письменно уведомив об этом Правополучателя или его представителя, в случаях: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неустранения Правополучателем в пятидневный срок (при необходимости проведения работ по реконструкции объекта - тридцатидневный срок) нарушений, выявленных при обследовании Объекта и отраженных в акте;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нарушения Правополучателем </w:t>
            </w:r>
            <w:hyperlink w:tooltip="#Par34" w:anchor="Par34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подпунктов 2.3.1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- </w:t>
            </w:r>
            <w:hyperlink w:tooltip="#Par35" w:anchor="Par35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2.3.3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hyperlink w:tooltip="#Par45" w:anchor="Par45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2.3.6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повторного нарушения Правополучателем </w:t>
            </w:r>
            <w:hyperlink w:tooltip="#Par36" w:anchor="Par3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подпунктов 2.3.4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hyperlink w:tooltip="#Par37" w:anchor="Par37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2.3.5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строительства или реконструкции объекта федерального, регионального значения на территории земельного участка, на котором расположен Объект, при отсутствии возможности дальнейшей эксплуатации Объекта по месту его расположения;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использование земельного участка для решения вопросов местного значения, предусмотренных Федеральным законом от 06.10.2003 № 131-ФЗ «Об общих принципах местного самоуправления в Российской Федерации».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Настоящий Договор считается прекращенным по истечении 5 (пяти) календарных дней с момента уведомления Правополучателя об отказе от Договора.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 Прочие условия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4.1. Изменения и дополнения к настоящему Договору действительны, если они оформлены письменно в форме дополнительных соглашений и подписаны уполномоченными представителями Сторон.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4.2. Сторона в случае изменения адреса или иных реквизитов, указанных в настоящем Договоре, направляет в десятидневный срок другой Стороне письменное уведомление об изменении адреса или иных реквизитов, указанных в Договоре.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случае если одна из Сторон письменно не уведомила другую Сторону об изменении адреса, указанного в настоящем Договоре, все извещения и другие документы, отправленные по адресу, ранее указанному в настоящем Договоре, считаются врученными.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4.3. Взаимоотношения Сторон, не урегулированные настоящим Договором, регламентируются действующим законодательством Российской Федерации.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4.4. Настоящий Договор составлен в 2 (двух) экземплярах: для каждой Стороны по одному экземпляру.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Приложение: графический </w:t>
            </w:r>
            <w:hyperlink r:id="rId21" w:tooltip="consultantplus://offline/ref=1218D3E2E8B0236D4DDC10D3C996584244E9E6E20184CBB970B3D9E57F0E06ACC7DDBE411D63414BF2D48A1B49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план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размещения Объекта.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5. Реквизиты, адреса и подписи Сторон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Администрация муниципального образования город Краснодар, ул. Красная, 122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Правополучатель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ИНН/КПП 2310032246/231001001,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к/с 40102810945370000010,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р/с 03100643000000011800,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hyperlink r:id="rId22" w:tooltip="consultantplus://offline/ref=09326C82622E71E7A8ECA149509DFF304A7B360D16A24D375EADEA8A1014FCFAD56AE55061B32E32B0DBB01440U3IFJ" w:history="1">
              <w:r>
                <w:rPr>
                  <w:rFonts w:ascii="PT Astra Serif" w:hAnsi="PT Astra Serif" w:eastAsia="PT Astra Serif" w:cs="PT Astra Serif"/>
                  <w:color w:val="0000ff"/>
                </w:rPr>
                <w:t xml:space="preserve">ОКТМО</w:t>
              </w:r>
            </w:hyperlink>
            <w:r>
              <w:rPr>
                <w:rFonts w:ascii="PT Astra Serif" w:hAnsi="PT Astra Serif" w:eastAsia="PT Astra Serif" w:cs="PT Astra Serif"/>
              </w:rPr>
              <w:t xml:space="preserve"> 03701000, БИК 010349101;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КБК 90211109080040000120,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Южное ГУ Банка России//УФК по Краснодарскому краю, г. Краснодар.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Назначение платежа: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Плата за право размещения </w:t>
            </w:r>
            <w:r>
              <w:rPr>
                <w:rFonts w:ascii="PT Astra Serif" w:hAnsi="PT Astra Serif" w:eastAsia="PT Astra Serif" w:cs="PT Astra Serif"/>
              </w:rPr>
              <w:t xml:space="preserve">сезонного нестационарного торгового объекта по Договору №____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Начальник (заместитель начальника)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управления торговли и бытового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обслуживания населения администрации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муниципального образования город Краснодар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М.П.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Ф.И.О.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М.П.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Ф.И.О.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</w:tbl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ПРИЛОЖЕНИЕ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к договору о предоставлении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права </w:t>
      </w:r>
      <w:r>
        <w:rPr>
          <w:rFonts w:ascii="PT Astra Serif" w:hAnsi="PT Astra Serif" w:eastAsia="PT Astra Serif" w:cs="PT Astra Serif" w:eastAsiaTheme="minorHAnsi"/>
        </w:rPr>
        <w:t xml:space="preserve">на размещение сезонного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нестационарного </w:t>
      </w:r>
      <w:r>
        <w:rPr>
          <w:rFonts w:ascii="PT Astra Serif" w:hAnsi="PT Astra Serif" w:eastAsia="PT Astra Serif" w:cs="PT Astra Serif" w:eastAsiaTheme="minorHAnsi"/>
        </w:rPr>
        <w:t xml:space="preserve">торгового объекта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 территории </w:t>
      </w:r>
      <w:r>
        <w:rPr>
          <w:rFonts w:ascii="PT Astra Serif" w:hAnsi="PT Astra Serif" w:eastAsia="PT Astra Serif" w:cs="PT Astra Serif" w:eastAsiaTheme="minorHAnsi"/>
        </w:rPr>
        <w:t xml:space="preserve">муниципального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образования город Краснодар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Утверждаю: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Начальник (первый заместитель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начальника) </w:t>
      </w:r>
      <w:r>
        <w:rPr>
          <w:rFonts w:ascii="PT Astra Serif" w:hAnsi="PT Astra Serif" w:eastAsia="PT Astra Serif" w:cs="PT Astra Serif" w:eastAsiaTheme="minorHAnsi"/>
        </w:rPr>
        <w:t xml:space="preserve">управления торговли и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бытового обслуживания населения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администрации муниципального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образования город Краснодар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"___" __________ 20___ г.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b/>
          <w:bCs/>
        </w:rPr>
        <w:t xml:space="preserve">ГРАФИЧЕСКИЙ ПЛАН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b/>
          <w:bCs/>
        </w:rPr>
        <w:t xml:space="preserve">размещения Объекта по адресу: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position w:val="-159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24450" cy="2162175"/>
                <wp:effectExtent l="0" t="0" r="0" b="952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512445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3.50pt;height:17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60"/>
        <w:rPr>
          <w:rFonts w:ascii="PT Astra Serif" w:hAnsi="PT Astra Serif" w:cs="PT Astra Serif"/>
          <w:highlight w:val="none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1" w:name="_Toc128319592"/>
      <w:r>
        <w:rPr>
          <w:rFonts w:ascii="PT Astra Serif" w:hAnsi="PT Astra Serif" w:eastAsia="PT Astra Serif" w:cs="PT Astra Serif" w:eastAsiaTheme="minorHAnsi"/>
        </w:rPr>
        <w:t xml:space="preserve">12. Сведения о порядке определения победителя</w:t>
      </w:r>
      <w:bookmarkEnd w:id="21"/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в установленные в извещении о проведении аукциона время и дату</w:t>
      </w:r>
      <w:r>
        <w:rPr>
          <w:rFonts w:ascii="PT Astra Serif" w:hAnsi="PT Astra Serif" w:eastAsia="PT Astra Serif" w:cs="PT Astra Serif" w:eastAsiaTheme="minorHAnsi"/>
          <w:bCs/>
          <w:sz w:val="24"/>
          <w:highlight w:val="none"/>
        </w:rPr>
        <w:t xml:space="preserve"> 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(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26.09.2024 в 14:00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)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/>
        </w:rPr>
      </w:r>
      <w:bookmarkStart w:id="22" w:name="Par1"/>
      <w:r>
        <w:rPr>
          <w:rFonts w:ascii="PT Astra Serif" w:hAnsi="PT Astra Serif" w:eastAsia="PT Astra Serif" w:cs="PT Astra Serif"/>
        </w:rPr>
      </w:r>
      <w:bookmarkEnd w:id="22"/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При проведении аукциона устанавливается время приёма предложений, составляющ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ее 10 минут от начала подачи предложения о стоимости права на заключение договора о предоставлении права на размещение НТО до истечения срока подачи предложений о стоимости права на заключение договора о предоставлении права на размещение НТО, а также 10 м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инут после поступления последнего предложения о стоимости права на заключение договора о предоставлении права на размещение НТО. Время приёма предложений обновляется автоматически при помощи программных и технических средств оператора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Если в течение указанного срока ни одного предложения не поступило, аукцион автоматически завершается при помощи технических средств оператора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случае если ни один из участников аукциона не сделал «шаг аукциона», аукцион считается несостоявшимся. Договор о предоставлении права на размещение НТО заключается с участником аукциона, подавшим заявку первым.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путём повышения начальной цены предмета аукциона, указанной в извещении о проведении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Величина повышения начальной цены предмета аукциона «шаг аукциона» составляет пять процентов от начальной цены лота.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фиксирует предложения участников аукциона, с указанием времени поступления указанных предложений.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После поступления последнего предложения аукцион автоматически завершается при помощи технических средств оператора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 результатам проведения аукциона оператором электронной площадки оформляется протокол проведения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Протокол проведения аукциона размещается оператором элек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тронной площадки на электронной площадке после окончания аукциона в день его проведения. В протоколе проведения аукциона указываются адрес электронной площадки, дата, время начала и окончания аукциона, начальная (минимальная) стоимость права на заключение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договора о предоставлении права на размещение НТО, сведения об участниках аукциона, все максимальные предложения о стоимости права заключения договора о предоставлении права на размещение НТО, сделанные участниками аукциона и ранжированные по мере возраста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аукциона, и с указанием времени поступления данных предложений по местному времени участника.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Участник аукциона после размещения на электронной площадке протокола проведения аукциона имеет право направи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ть оператору электронной площадки запрос о разъяснении содержания протокола проведения аукциона. Оператор электронной площадки в установленные регламентом электронной площадки сроки обязан предоставить такому участнику аукциона соответствующие разъяснения.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обязан обеспечить непрерывность проведения аукциона, на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дежность функционирования программных и технических средств, используемых для проведения аукциона, равный доступ участников аукциона к участию в нем, а также выполнение действий, предусмотренных настоящим разделом, независимо от времени окончания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срок не позднее трёх рабочих дней после размещения протокола проведения аукциона на сайте электронной площадки управление направляет протокол проведения аукциона аукционной комиссии.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Протокол о результатах аукциона в течение одного рабочего дня с момента его оформления направляется аукционной комиссией в управление.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Управление в течение одного рабочего дня с момента поступления протокола о результатах аукциона размещает его на сайте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прекращает блокирование операций по счетам претендентов на участие в аукционе, подавших заявки на участие в аукционе, признанных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аукционной комиссией не соответствующими требованиям Порядка 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рганизации и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утверждённого постановлением администрации муниципального образов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ания город Краснодар от 17.08.2022 № 3734 «О размещении нестационарных торговых объектов на территории муниципального образования город Краснодар», и документации об аукционе, в отношении денежных средств в размере обеспечения заявки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3" w:name="_Toc128319593"/>
      <w:r>
        <w:rPr>
          <w:rFonts w:ascii="PT Astra Serif" w:hAnsi="PT Astra Serif" w:eastAsia="PT Astra Serif" w:cs="PT Astra Serif" w:eastAsiaTheme="minorHAnsi"/>
        </w:rPr>
        <w:t xml:space="preserve">13. Начальный (минимальный) размер стоимости договора о предоставлении права на размещение НТО</w:t>
      </w:r>
      <w:bookmarkEnd w:id="23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Начальный (минимальный) размер стоимости договора о предоставлении права на размещение НТО определяется управ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лением согласно Методике определения начальной (минимальной) цены предмета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род Краснодар (далее - Методика), утверждённой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 w:eastAsiaTheme="minorHAnsi"/>
          <w:sz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</w:rPr>
        <w:t xml:space="preserve">Начальный (минимальный) </w:t>
      </w:r>
      <w:r>
        <w:rPr>
          <w:rFonts w:ascii="PT Astra Serif" w:hAnsi="PT Astra Serif" w:eastAsia="PT Astra Serif" w:cs="PT Astra Serif" w:eastAsiaTheme="minorHAnsi"/>
          <w:sz w:val="24"/>
          <w:highlight w:val="none"/>
        </w:rPr>
        <w:t xml:space="preserve">размер стоимости договора в отношении каждого лота указан в приложении № 1 к аукционной документации.</w:t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4" w:name="_Toc128319594"/>
      <w:r>
        <w:rPr>
          <w:rFonts w:ascii="PT Astra Serif" w:hAnsi="PT Astra Serif" w:eastAsia="PT Astra Serif" w:cs="PT Astra Serif" w:eastAsiaTheme="minorHAnsi"/>
        </w:rPr>
        <w:t xml:space="preserve"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</w:r>
      <w:bookmarkEnd w:id="24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Договор о предоставлении права на размещение НТО заключается на условиях, указанных в извещении о проведении аукциона и до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кументации об аукционе, по цене, предложенной победителем аукциона, либо в случае заключения договора о предоставлении права на размещение НТО с иным участником аукциона по цене, предложенной таким участником аукциона, но не меньше начальной цены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Задаток победителя аукциона засчитывается в счет исполнения обязательств по договору 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 предоставлении права на размещение НТО. Управление не позднее 3 рабочих дней с даты размещения на электронной площадке протокола о результатах аукциона направляет оператору электронной площадки поручение о перечислении денежных средств по итогам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А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укционной документацией предусмотрено обязательство по внесению победителем аукциона или участником аукциона, сделавшим предпоследнее предложение о цене аукциона, первого платежа по договору</w:t>
      </w:r>
      <w:r>
        <w:rPr>
          <w:rFonts w:ascii="PT Astra Serif" w:hAnsi="PT Astra Serif" w:eastAsia="PT Astra Serif" w:cs="PT Astra Serif" w:eastAsiaTheme="minorHAnsi"/>
          <w:sz w:val="24"/>
        </w:rPr>
        <w:t xml:space="preserve">. В случае, если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сумма задатка превышает сумму такого платежа, разница между суммой задатка и суммой первого платежа по договору возвращается на сч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ё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т победителя аукциона или участника аукциона, сделавшего предпоследнее предложение о цене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В случае невнесения платы в установленный Договором срок Правополучатель оплачивает пеню за каждый день просрочки в размере 0,2% от размера оплаты по Договору.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5" w:name="_Toc128319595"/>
      <w:r>
        <w:rPr>
          <w:rFonts w:ascii="PT Astra Serif" w:hAnsi="PT Astra Serif" w:eastAsia="PT Astra Serif" w:cs="PT Astra Serif" w:eastAsiaTheme="minorHAnsi"/>
        </w:rPr>
        <w:t xml:space="preserve">15. Величина повышения начальной цены договора о предоставлении права на размещение НТО («шаг аукциона»)</w:t>
      </w:r>
      <w:bookmarkEnd w:id="25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Шаг аукциона составляет пять процентов от начальной цены лота. 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  <w:t xml:space="preserve">16. Сведения о сроке, в течение которого должен быть подписан договор о предоставлении права на размещение НТО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5 рабочих дней со дня размещения на электронной площадке протокола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 результатах аукциона управление направляет победителю аукциона проект договора, который составляется путем включения цены договора, предложенной участником аукциона, с которым заключается договор, в проект договора, прилагаемый к аукционной документации.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Заключение договора о предоставлении права на размещение НТО может осуществляться как в электронной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форме с применением функционала электронной площадки, так и вне электронной площадки в соответствии с законодательством Российской Федерации, и с необходимым подтверждением его заключения управлением через функционал электронной площадки в личном кабинете.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Подписание договора о предоставлении права на размещение НТО на бумажном носителе осуществляется победителем аукциона в течение 5 рабочих дней со дня получения проекта договора. Подписанный договор победитель аукциона обязан представить в управление.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Договор может быть заключен не позднее 15 рабочих дней с даты размещения на электронной площадке протокола о результатах аукциона (протокола об отказе в заключении договора).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3 рабочих дней с даты заключения договора управление размещает подписанный сторонами договор на электронной площадке.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0"/>
        <w:rPr>
          <w:rFonts w:ascii="PT Astra Serif" w:hAnsi="PT Astra Serif" w:cs="PT Astra Serif" w:eastAsiaTheme="minorHAnsi"/>
          <w:highlight w:val="none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7" w:name="_Toc128319597"/>
      <w:r>
        <w:rPr>
          <w:rFonts w:ascii="PT Astra Serif" w:hAnsi="PT Astra Serif" w:eastAsia="PT Astra Serif" w:cs="PT Astra Serif" w:eastAsiaTheme="minorHAnsi"/>
        </w:rPr>
        <w:t xml:space="preserve">17. </w:t>
      </w:r>
      <w:r>
        <w:rPr>
          <w:rFonts w:ascii="PT Astra Serif" w:hAnsi="PT Astra Serif" w:eastAsia="PT Astra Serif" w:cs="PT Astra Serif" w:eastAsiaTheme="minorHAnsi"/>
        </w:rPr>
        <w:t xml:space="preserve">Архитектурное решение НТО</w:t>
      </w:r>
      <w:bookmarkEnd w:id="27"/>
      <w:r>
        <w:rPr>
          <w:rFonts w:ascii="PT Astra Serif" w:hAnsi="PT Astra Serif" w:cs="PT Astra Serif" w:eastAsiaTheme="minorHAnsi"/>
          <w:highlight w:val="none"/>
        </w:rPr>
      </w:r>
      <w:r>
        <w:rPr>
          <w:rFonts w:ascii="PT Astra Serif" w:hAnsi="PT Astra Serif" w:cs="PT Astra Serif" w:eastAsiaTheme="minorHAnsi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73"/>
        <w:ind w:firstLine="53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  <w:t xml:space="preserve">Внешний вид НТО должен соответствовать архитектурному решению НТО</w:t>
      </w:r>
      <w:r>
        <w:rPr>
          <w:rFonts w:ascii="PT Astra Serif" w:hAnsi="PT Astra Serif" w:eastAsia="PT Astra Serif" w:cs="PT Astra Serif"/>
          <w:sz w:val="24"/>
        </w:rPr>
        <w:t xml:space="preserve">: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73"/>
        <w:ind w:firstLine="53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  <w:lang w:eastAsia="ru-RU"/>
        </w:rPr>
        <w:t xml:space="preserve">Архитектурное решение НТО – Приложение № </w:t>
      </w:r>
      <w:r>
        <w:rPr>
          <w:rFonts w:ascii="PT Astra Serif" w:hAnsi="PT Astra Serif" w:eastAsia="PT Astra Serif" w:cs="PT Astra Serif" w:eastAsiaTheme="minorHAnsi"/>
          <w:bCs/>
          <w:sz w:val="24"/>
          <w:lang w:eastAsia="ru-RU"/>
        </w:rPr>
        <w:t xml:space="preserve">3</w:t>
      </w:r>
      <w:r>
        <w:rPr>
          <w:rFonts w:ascii="PT Astra Serif" w:hAnsi="PT Astra Serif" w:eastAsia="PT Astra Serif" w:cs="PT Astra Serif" w:eastAsiaTheme="minorHAnsi"/>
          <w:bCs/>
          <w:sz w:val="24"/>
          <w:lang w:eastAsia="ru-RU"/>
        </w:rPr>
        <w:t xml:space="preserve"> к аукционной документации.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 w:eastAsiaTheme="minorHAnsi"/>
        </w:rPr>
      </w:pPr>
      <w:r>
        <w:rPr>
          <w:rFonts w:ascii="PT Astra Serif" w:hAnsi="PT Astra Serif" w:eastAsia="PT Astra Serif" w:cs="PT Astra Serif" w:eastAsiaTheme="minorHAnsi"/>
          <w:bCs/>
          <w:sz w:val="24"/>
          <w:lang w:eastAsia="ru-RU"/>
        </w:rPr>
        <w:tab/>
      </w:r>
      <w:r>
        <w:rPr>
          <w:rFonts w:ascii="PT Astra Serif" w:hAnsi="PT Astra Serif" w:cs="PT Astra Serif" w:eastAsiaTheme="minorHAnsi"/>
        </w:rPr>
      </w:r>
      <w:bookmarkStart w:id="28" w:name="_Toc128319598"/>
      <w:r>
        <w:rPr>
          <w:rFonts w:ascii="PT Astra Serif" w:hAnsi="PT Astra Serif" w:cs="PT Astra Serif" w:eastAsiaTheme="minorHAnsi"/>
        </w:rPr>
        <w:t xml:space="preserve">18. </w:t>
      </w:r>
      <w:r>
        <w:rPr>
          <w:rFonts w:ascii="PT Astra Serif" w:hAnsi="PT Astra Serif" w:cs="PT Astra Serif" w:eastAsiaTheme="minorHAnsi"/>
        </w:rPr>
        <w:t xml:space="preserve">С</w:t>
      </w:r>
      <w:r>
        <w:rPr>
          <w:rFonts w:ascii="PT Astra Serif" w:hAnsi="PT Astra Serif" w:cs="PT Astra Serif" w:eastAsiaTheme="minorHAnsi"/>
        </w:rPr>
        <w:t xml:space="preserve">пециал</w:t>
      </w:r>
      <w:r>
        <w:rPr>
          <w:rFonts w:ascii="PT Astra Serif" w:hAnsi="PT Astra Serif" w:cs="PT Astra Serif" w:eastAsiaTheme="minorHAnsi"/>
        </w:rPr>
        <w:t xml:space="preserve">изация НТО</w:t>
      </w:r>
      <w:bookmarkEnd w:id="28"/>
      <w:r>
        <w:rPr>
          <w:rFonts w:ascii="PT Astra Serif" w:hAnsi="PT Astra Serif" w:cs="PT Astra Serif" w:eastAsiaTheme="minorHAnsi"/>
        </w:rPr>
      </w:r>
      <w:r>
        <w:rPr>
          <w:rFonts w:ascii="PT Astra Serif" w:hAnsi="PT Astra Serif" w:cs="PT Astra Serif" w:eastAsiaTheme="minorHAnsi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Специализация НТО: хвойные деревья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9" w:name="_Toc128319599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  <w:t xml:space="preserve">1</w:t>
      </w:r>
      <w:r>
        <w:rPr>
          <w:rFonts w:ascii="PT Astra Serif" w:hAnsi="PT Astra Serif" w:eastAsia="PT Astra Serif" w:cs="PT Astra Serif" w:eastAsiaTheme="minorHAnsi"/>
        </w:rPr>
        <w:t xml:space="preserve">9. Период и срок размещения НТО</w:t>
      </w:r>
      <w:bookmarkEnd w:id="29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отношении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лотов, указанных в приложении № 1 к аукционной документации -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период размещения: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Style w:val="711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год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период функционирования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39"/>
        </w:trPr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30" w:name="_Toc128319600"/>
      <w:r>
        <w:rPr>
          <w:rFonts w:ascii="PT Astra Serif" w:hAnsi="PT Astra Serif" w:eastAsia="PT Astra Serif" w:cs="PT Astra Serif" w:eastAsiaTheme="minorHAnsi"/>
        </w:rPr>
        <w:t xml:space="preserve">20. Сведения о проведении аукциона среди субъектов малого или среднего предпринимательства, осуществляющих торговую деятельн</w:t>
      </w:r>
      <w:r>
        <w:rPr>
          <w:rFonts w:ascii="PT Astra Serif" w:hAnsi="PT Astra Serif" w:eastAsia="PT Astra Serif" w:cs="PT Astra Serif" w:eastAsiaTheme="minorHAnsi"/>
        </w:rPr>
        <w:t xml:space="preserve">ость</w:t>
      </w:r>
      <w:bookmarkEnd w:id="30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вправе участвовать юридические лица индивидуальные предприниматели и самозанятые физические лица, в том числе субъекты малого и среднего предпринимательства.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31" w:name="_Toc128319601"/>
      <w:r>
        <w:rPr>
          <w:rFonts w:ascii="PT Astra Serif" w:hAnsi="PT Astra Serif" w:eastAsia="PT Astra Serif" w:cs="PT Astra Serif" w:eastAsiaTheme="minorHAnsi"/>
        </w:rPr>
        <w:t xml:space="preserve">21. Иная информация,</w:t>
      </w:r>
      <w:r>
        <w:rPr>
          <w:rFonts w:ascii="PT Astra Serif" w:hAnsi="PT Astra Serif" w:eastAsia="PT Astra Serif" w:cs="PT Astra Serif" w:eastAsiaTheme="minorHAnsi"/>
        </w:rPr>
        <w:t xml:space="preserve"> касающаяся проведения аукциона</w:t>
      </w:r>
      <w:bookmarkEnd w:id="31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в соответствии с Гражданским кодексом Российской Федерации, Федеральными  законами от 28.12.2009 № 381-ФЗ «Об основах государственного регулирования торговой деятельности в Россий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ской Федерации», от 06.10.2003 № 131-ФЗ «Об общих принципах организации местного самоуправления в Российской Федерации», от 26.07.2006 № 135-ФЗ «О защите конкуренции», Законом Краснодарского края от 31.05.2005 № 879-КЗ «О государственной политике Краснодар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ского края в сфере торговой деятельности», постановлением главы администрации (губернатора) Краснодарского края от 11.11.2014 № 1249 «Об утверждении Порядка разработки и утверждения органами местного самоуправления схем размещения нестационарных торговых 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бъектов на территории Краснодарского края»,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28705872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/>
      </w:p>
    </w:sdtContent>
  </w:sdt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3"/>
    <w:link w:val="852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1"/>
    <w:next w:val="851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3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3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3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3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1"/>
    <w:next w:val="851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3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1"/>
    <w:next w:val="851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3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1"/>
    <w:next w:val="851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3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character" w:styleId="700">
    <w:name w:val="Title Char"/>
    <w:basedOn w:val="853"/>
    <w:link w:val="860"/>
    <w:uiPriority w:val="10"/>
    <w:rPr>
      <w:sz w:val="48"/>
      <w:szCs w:val="48"/>
    </w:rPr>
  </w:style>
  <w:style w:type="paragraph" w:styleId="701">
    <w:name w:val="Subtitle"/>
    <w:basedOn w:val="851"/>
    <w:next w:val="851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3"/>
    <w:link w:val="701"/>
    <w:uiPriority w:val="11"/>
    <w:rPr>
      <w:sz w:val="24"/>
      <w:szCs w:val="24"/>
    </w:rPr>
  </w:style>
  <w:style w:type="paragraph" w:styleId="703">
    <w:name w:val="Quote"/>
    <w:basedOn w:val="851"/>
    <w:next w:val="851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1"/>
    <w:next w:val="851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3"/>
    <w:link w:val="866"/>
    <w:uiPriority w:val="99"/>
  </w:style>
  <w:style w:type="character" w:styleId="708">
    <w:name w:val="Footer Char"/>
    <w:basedOn w:val="853"/>
    <w:link w:val="868"/>
    <w:uiPriority w:val="99"/>
  </w:style>
  <w:style w:type="paragraph" w:styleId="709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8"/>
    <w:uiPriority w:val="99"/>
  </w:style>
  <w:style w:type="table" w:styleId="711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1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5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8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2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5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9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1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3"/>
    <w:uiPriority w:val="99"/>
    <w:unhideWhenUsed/>
    <w:rPr>
      <w:vertAlign w:val="superscript"/>
    </w:rPr>
  </w:style>
  <w:style w:type="paragraph" w:styleId="840">
    <w:name w:val="endnote text"/>
    <w:basedOn w:val="851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3"/>
    <w:uiPriority w:val="99"/>
    <w:semiHidden/>
    <w:unhideWhenUsed/>
    <w:rPr>
      <w:vertAlign w:val="superscript"/>
    </w:rPr>
  </w:style>
  <w:style w:type="paragraph" w:styleId="843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after="200" w:line="276" w:lineRule="auto"/>
    </w:pPr>
    <w:rPr>
      <w:rFonts w:ascii="Calibri" w:hAnsi="Calibri" w:eastAsia="Times New Roman" w:cs="Times New Roman"/>
    </w:rPr>
  </w:style>
  <w:style w:type="paragraph" w:styleId="852">
    <w:name w:val="Heading 1"/>
    <w:basedOn w:val="851"/>
    <w:next w:val="851"/>
    <w:link w:val="86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List Paragraph"/>
    <w:basedOn w:val="851"/>
    <w:link w:val="857"/>
    <w:uiPriority w:val="34"/>
    <w:qFormat/>
    <w:pPr>
      <w:contextualSpacing/>
      <w:ind w:left="720"/>
    </w:pPr>
    <w:rPr>
      <w:rFonts w:eastAsia="Calibri"/>
    </w:rPr>
  </w:style>
  <w:style w:type="character" w:styleId="857" w:customStyle="1">
    <w:name w:val="Абзац списка Знак"/>
    <w:link w:val="856"/>
    <w:uiPriority w:val="34"/>
    <w:rPr>
      <w:rFonts w:ascii="Calibri" w:hAnsi="Calibri" w:eastAsia="Calibri" w:cs="Times New Roman"/>
    </w:rPr>
  </w:style>
  <w:style w:type="paragraph" w:styleId="858">
    <w:name w:val="Body Text"/>
    <w:basedOn w:val="851"/>
    <w:link w:val="859"/>
    <w:uiPriority w:val="99"/>
    <w:pPr>
      <w:spacing w:after="120"/>
    </w:pPr>
    <w:rPr>
      <w:sz w:val="20"/>
      <w:szCs w:val="20"/>
    </w:rPr>
  </w:style>
  <w:style w:type="character" w:styleId="859" w:customStyle="1">
    <w:name w:val="Основной текст Знак"/>
    <w:basedOn w:val="853"/>
    <w:link w:val="858"/>
    <w:uiPriority w:val="99"/>
    <w:rPr>
      <w:rFonts w:ascii="Calibri" w:hAnsi="Calibri" w:eastAsia="Times New Roman" w:cs="Times New Roman"/>
      <w:sz w:val="20"/>
      <w:szCs w:val="20"/>
    </w:rPr>
  </w:style>
  <w:style w:type="paragraph" w:styleId="860">
    <w:name w:val="Title"/>
    <w:basedOn w:val="851"/>
    <w:link w:val="861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styleId="861" w:customStyle="1">
    <w:name w:val="Заголовок Знак"/>
    <w:basedOn w:val="853"/>
    <w:link w:val="860"/>
    <w:rPr>
      <w:rFonts w:ascii="Times New Roman" w:hAnsi="Times New Roman" w:eastAsia="Times New Roman" w:cs="Times New Roman"/>
      <w:b/>
      <w:sz w:val="28"/>
      <w:szCs w:val="20"/>
    </w:rPr>
  </w:style>
  <w:style w:type="character" w:styleId="862" w:customStyle="1">
    <w:name w:val="Заголовок 1 Знак"/>
    <w:basedOn w:val="853"/>
    <w:link w:val="852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63">
    <w:name w:val="TOC Heading"/>
    <w:basedOn w:val="852"/>
    <w:next w:val="851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864">
    <w:name w:val="toc 1"/>
    <w:basedOn w:val="851"/>
    <w:next w:val="851"/>
    <w:uiPriority w:val="39"/>
    <w:unhideWhenUsed/>
    <w:pPr>
      <w:spacing w:after="100"/>
    </w:pPr>
  </w:style>
  <w:style w:type="character" w:styleId="865">
    <w:name w:val="Hyperlink"/>
    <w:basedOn w:val="853"/>
    <w:uiPriority w:val="99"/>
    <w:unhideWhenUsed/>
    <w:rPr>
      <w:color w:val="0563c1" w:themeColor="hyperlink"/>
      <w:u w:val="single"/>
    </w:rPr>
  </w:style>
  <w:style w:type="paragraph" w:styleId="866">
    <w:name w:val="Header"/>
    <w:basedOn w:val="851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53"/>
    <w:link w:val="866"/>
    <w:uiPriority w:val="99"/>
    <w:rPr>
      <w:rFonts w:ascii="Calibri" w:hAnsi="Calibri" w:eastAsia="Times New Roman" w:cs="Times New Roman"/>
    </w:rPr>
  </w:style>
  <w:style w:type="paragraph" w:styleId="868">
    <w:name w:val="Footer"/>
    <w:basedOn w:val="851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53"/>
    <w:link w:val="868"/>
    <w:uiPriority w:val="99"/>
    <w:rPr>
      <w:rFonts w:ascii="Calibri" w:hAnsi="Calibri" w:eastAsia="Times New Roman" w:cs="Times New Roman"/>
    </w:rPr>
  </w:style>
  <w:style w:type="paragraph" w:styleId="870" w:customStyle="1">
    <w:name w:val="основной"/>
    <w:basedOn w:val="851"/>
    <w:pPr>
      <w:ind w:left="1" w:right="1" w:firstLine="284"/>
      <w:jc w:val="both"/>
      <w:spacing w:before="1" w:after="1" w:line="240" w:lineRule="auto"/>
      <w:widowControl w:val="off"/>
    </w:pPr>
    <w:rPr>
      <w:rFonts w:ascii="Times New Roman" w:hAnsi="Times New Roman"/>
      <w:sz w:val="20"/>
      <w:szCs w:val="20"/>
      <w:lang w:val="en-US"/>
    </w:rPr>
  </w:style>
  <w:style w:type="paragraph" w:styleId="871">
    <w:name w:val="toc 2"/>
    <w:basedOn w:val="851"/>
    <w:next w:val="851"/>
    <w:uiPriority w:val="39"/>
    <w:unhideWhenUsed/>
    <w:pPr>
      <w:ind w:left="220"/>
      <w:spacing w:after="100"/>
    </w:pPr>
  </w:style>
  <w:style w:type="character" w:styleId="872" w:customStyle="1">
    <w:name w:val="Неразрешенное упоминание1"/>
    <w:basedOn w:val="853"/>
    <w:uiPriority w:val="99"/>
    <w:semiHidden/>
    <w:unhideWhenUsed/>
    <w:rPr>
      <w:color w:val="605e5c"/>
      <w:shd w:val="clear" w:color="auto" w:fill="e1dfdd"/>
    </w:rPr>
  </w:style>
  <w:style w:type="paragraph" w:styleId="873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74">
    <w:name w:val="Balloon Text"/>
    <w:basedOn w:val="851"/>
    <w:link w:val="87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5" w:customStyle="1">
    <w:name w:val="Текст выноски Знак"/>
    <w:basedOn w:val="853"/>
    <w:link w:val="874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dpr@krd.ru" TargetMode="External"/><Relationship Id="rId12" Type="http://schemas.openxmlformats.org/officeDocument/2006/relationships/hyperlink" Target="https://www.roseltorg.ru" TargetMode="External"/><Relationship Id="rId13" Type="http://schemas.openxmlformats.org/officeDocument/2006/relationships/hyperlink" Target="https://krd.ru/" TargetMode="External"/><Relationship Id="rId14" Type="http://schemas.openxmlformats.org/officeDocument/2006/relationships/hyperlink" Target="https://www.roseltorg.ru" TargetMode="External"/><Relationship Id="rId15" Type="http://schemas.openxmlformats.org/officeDocument/2006/relationships/hyperlink" Target="http://www.krd.ru" TargetMode="External"/><Relationship Id="rId16" Type="http://schemas.openxmlformats.org/officeDocument/2006/relationships/hyperlink" Target="https://www.roseltorg.ru" TargetMode="External"/><Relationship Id="rId17" Type="http://schemas.openxmlformats.org/officeDocument/2006/relationships/hyperlink" Target="https://www.roseltorg.ru" TargetMode="External"/><Relationship Id="rId18" Type="http://schemas.openxmlformats.org/officeDocument/2006/relationships/hyperlink" Target="consultantplus://offline/ref=1218D3E2E8B0236D4DDC10D3C996584244E9E6E20184CBB970B3D9E57F0E06ACC7DDBE411D63414BF2D58B1A402631B795C51520A28457FDB5E48E55k47FK" TargetMode="External"/><Relationship Id="rId19" Type="http://schemas.openxmlformats.org/officeDocument/2006/relationships/hyperlink" Target="consultantplus://offline/ref=1218D3E2E8B0236D4DDC10D3C996584244E9E6E20184CBB970B3D9E57F0E06ACC7DDBE411D63414BF2D48A1B492631B795C51520A28457FDB5E48E55k47FK" TargetMode="External"/><Relationship Id="rId20" Type="http://schemas.openxmlformats.org/officeDocument/2006/relationships/hyperlink" Target="consultantplus://offline/ref=1218D3E2E8B0236D4DDC0EDEDFFA074847E1BBED0A82C2E628E4DFB2205E00F9959DE0185F23524AF0CB891343k27EK" TargetMode="External"/><Relationship Id="rId21" Type="http://schemas.openxmlformats.org/officeDocument/2006/relationships/hyperlink" Target="consultantplus://offline/ref=1218D3E2E8B0236D4DDC10D3C996584244E9E6E20184CBB970B3D9E57F0E06ACC7DDBE411D63414BF2D48A1B492631B795C51520A28457FDB5E48E55k47FK" TargetMode="External"/><Relationship Id="rId22" Type="http://schemas.openxmlformats.org/officeDocument/2006/relationships/hyperlink" Target="consultantplus://offline/ref=09326C82622E71E7A8ECA149509DFF304A7B360D16A24D375EADEA8A1014FCFAD56AE55061B32E32B0DBB01440U3IFJ" TargetMode="External"/><Relationship Id="rId2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DB50-2B3E-46B0-8E12-D88AE5FB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AMOgK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Жадан В.В.</dc:creator>
  <cp:keywords/>
  <dc:description/>
  <cp:revision>22</cp:revision>
  <dcterms:created xsi:type="dcterms:W3CDTF">2023-03-29T14:14:00Z</dcterms:created>
  <dcterms:modified xsi:type="dcterms:W3CDTF">2024-08-17T13:16:40Z</dcterms:modified>
</cp:coreProperties>
</file>