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ДОКУМЕНТАЦИЯ ОБ ОТКРЫТОМ АУКЦИОНЕ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ЭЛЕКТРОННОЙ ФОРМЕ НА ПРАВО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ЗАКЛЮЧЕНИЯ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ДОГОВОРА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 ПРЕДОСТАВЛЕНИИ ПРАВА НА РАЗМЕЩЕНИЕ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НА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ТЕРРИТОРИИ МУНИЦИПАЛЬНОГО ОБРАЗОВАНИЯ ГОРОД КРАСНОДАР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Тип и специализация 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i/>
          <w:sz w:val="28"/>
          <w:szCs w:val="28"/>
          <w:u w:val="single"/>
        </w:rPr>
        <w:t xml:space="preserve">ТОРГОВАЯ ПАЛАТКА, ВОЗДУШНЫЕ ШАРЫ</w:t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i/>
          <w:u w:val="single"/>
        </w:rPr>
      </w:pPr>
      <w:r>
        <w:rPr>
          <w:rFonts w:ascii="PT Astra Serif" w:hAnsi="PT Astra Serif" w:eastAsia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Дата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время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открытого аукциона: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«22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» октября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2024 г.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12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:00 (по МСК.)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г. Краснодар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br w:type="page" w:clear="all"/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sdt>
      <w:sdtPr>
        <w15:appearance w15:val="boundingBox"/>
        <w:id w:val="2036465881"/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</w:sdtPr>
      <w:sdtContent>
        <w:p>
          <w:pPr>
            <w:pStyle w:val="861"/>
            <w:jc w:val="center"/>
            <w:spacing w:before="0" w:line="240" w:lineRule="auto"/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color w:val="auto"/>
              <w:sz w:val="28"/>
              <w:szCs w:val="28"/>
            </w:rPr>
            <w:t xml:space="preserve">Оглавление</w:t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</w:p>
        <w:p>
          <w:pPr>
            <w:spacing w:after="0" w:line="240" w:lineRule="auto"/>
            <w:rPr>
              <w:rFonts w:ascii="PT Astra Serif" w:hAnsi="PT Astra Serif" w:cs="PT Astra Serif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  <w:lang w:eastAsia="ru-RU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begin"/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instrText xml:space="preserve"> TOC \o "1-3" \h \z \u </w:instrText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separate"/>
          </w:r>
          <w:hyperlink w:tooltip="#_Toc128319580" w:anchor="_Toc128319580" w:history="1">
            <w:r>
              <w:rPr>
                <w:rStyle w:val="863"/>
                <w:rFonts w:ascii="PT Astra Serif" w:hAnsi="PT Astra Serif" w:eastAsia="PT Astra Serif" w:cs="PT Astra Serif"/>
              </w:rPr>
              <w:t xml:space="preserve">1. Извещение о проведении открытого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9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1" w:anchor="_Toc128319581" w:history="1">
            <w:r>
              <w:rPr>
                <w:rStyle w:val="863"/>
                <w:rFonts w:ascii="PT Astra Serif" w:hAnsi="PT Astra Serif" w:eastAsia="PT Astra Serif" w:cs="PT Astra Serif"/>
              </w:rPr>
              <w:t xml:space="preserve">1.1. Основные термины и определения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2" w:anchor="_Toc128319582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2. Форма заявки на участие в аукционе и инструкцию по ее заполнению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3" w:anchor="_Toc128319583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3. Срок подачи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4" w:anchor="_Toc128319584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4. Перечень документов, прилагаемых к заявке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5" w:anchor="_Toc128319585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5. Сведения о порядке и сроках отзыва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6" w:anchor="_Toc128319586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6. Сведения о месте и дате рассмотрения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7" w:anchor="_Toc128319587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7. Порядок, даты начала и окончания предоставления участникам аукциона разъяснений положений документации об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8" w:anchor="_Toc128319588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8. Место, дата и время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9" w:anchor="_Toc128319589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9. Требования к участникам аукциона, в том числе требование об отсутствии участников в реестре недобросовестных участников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0" w:anchor="_Toc128319590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10. Размер задатка, срок и порядок внесения задатка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1" w:anchor="_Toc128319591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11. Проект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10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2" w:anchor="_Toc128319592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12. Сведения о порядке определения победителя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14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3" w:anchor="_Toc128319593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13. 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4" w:anchor="_Toc128319594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5" w:anchor="_Toc128319595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15. Величина повышения начальной цены договора о предоставлении права на размещение НТО («шаг аукциона»)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6" w:anchor="_Toc128319596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16. Сведения о сроке, в течение которого должен быть подписан договор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7" w:anchor="_Toc128319597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17. Архитектурное решение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8" w:anchor="_Toc128319598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18. Специализация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9" w:anchor="_Toc128319599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19. Период и срок размещения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0" w:anchor="_Toc128319600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20. Сведения о проведении аукциона среди субъектов малого или среднего предпринимательства, осуществляющих торговую деятельность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2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1" w:anchor="_Toc128319601" w:history="1">
            <w:r>
              <w:rPr>
                <w:rStyle w:val="863"/>
                <w:rFonts w:ascii="PT Astra Serif" w:hAnsi="PT Astra Serif" w:eastAsia="PT Astra Serif" w:cs="PT Astra Serif" w:eastAsiaTheme="minorHAnsi"/>
              </w:rPr>
              <w:t xml:space="preserve">21. Иная информация, касающаяся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rPr>
              <w:rStyle w:val="863"/>
              <w:rFonts w:ascii="PT Astra Serif" w:hAnsi="PT Astra Serif" w:cs="PT Astra Serif"/>
              <w:b/>
              <w:color w:val="auto"/>
            </w:rPr>
          </w:pPr>
          <w:r>
            <w:rPr>
              <w:rFonts w:ascii="PT Astra Serif" w:hAnsi="PT Astra Serif" w:eastAsia="PT Astra Serif" w:cs="PT Astra Serif" w:eastAsiaTheme="minorEastAsia"/>
              <w:b/>
              <w:u w:val="single"/>
            </w:rPr>
            <w:t xml:space="preserve">П</w:t>
          </w:r>
          <w:r>
            <w:rPr>
              <w:rStyle w:val="863"/>
              <w:rFonts w:ascii="PT Astra Serif" w:hAnsi="PT Astra Serif" w:eastAsia="PT Astra Serif" w:cs="PT Astra Serif" w:eastAsiaTheme="minorHAnsi"/>
              <w:b/>
              <w:color w:val="auto"/>
            </w:rPr>
            <w:t xml:space="preserve">риложение № 1   Список объектов</w:t>
          </w:r>
          <w:r>
            <w:rPr>
              <w:rStyle w:val="863"/>
              <w:rFonts w:ascii="PT Astra Serif" w:hAnsi="PT Astra Serif" w:cs="PT Astra Serif"/>
              <w:b/>
              <w:color w:val="auto"/>
            </w:rPr>
          </w:r>
          <w:r>
            <w:rPr>
              <w:rStyle w:val="863"/>
              <w:rFonts w:ascii="PT Astra Serif" w:hAnsi="PT Astra Serif" w:cs="PT Astra Serif"/>
              <w:b/>
              <w:color w:val="auto"/>
            </w:rPr>
          </w:r>
        </w:p>
        <w:p>
          <w:pPr>
            <w:rPr>
              <w:rStyle w:val="863"/>
              <w:rFonts w:ascii="PT Astra Serif" w:hAnsi="PT Astra Serif" w:cs="PT Astra Serif"/>
              <w:b/>
              <w:color w:val="auto"/>
            </w:rPr>
          </w:pPr>
          <w:r>
            <w:rPr>
              <w:rStyle w:val="863"/>
              <w:rFonts w:ascii="PT Astra Serif" w:hAnsi="PT Astra Serif" w:eastAsia="PT Astra Serif" w:cs="PT Astra Serif" w:eastAsiaTheme="minorHAnsi"/>
              <w:b/>
              <w:color w:val="auto"/>
            </w:rPr>
            <w:t xml:space="preserve">Приложение № 2  Форма заявки участия в аукционе</w:t>
          </w:r>
          <w:r>
            <w:rPr>
              <w:rStyle w:val="863"/>
              <w:rFonts w:ascii="PT Astra Serif" w:hAnsi="PT Astra Serif" w:cs="PT Astra Serif"/>
              <w:b/>
              <w:color w:val="auto"/>
            </w:rPr>
          </w:r>
          <w:r>
            <w:rPr>
              <w:rStyle w:val="863"/>
              <w:rFonts w:ascii="PT Astra Serif" w:hAnsi="PT Astra Serif" w:cs="PT Astra Serif"/>
              <w:b/>
              <w:color w:val="auto"/>
            </w:rPr>
          </w:r>
        </w:p>
        <w:p>
          <w:pPr>
            <w:spacing w:after="0" w:line="240" w:lineRule="auto"/>
            <w:rPr>
              <w:rFonts w:ascii="PT Astra Serif" w:hAnsi="PT Astra Serif" w:cs="PT Astra Serif"/>
              <w:b/>
              <w:bCs/>
              <w:sz w:val="24"/>
              <w:szCs w:val="24"/>
              <w:u w:val="single"/>
            </w:rPr>
          </w:pP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fldChar w:fldCharType="end"/>
          </w:r>
          <w:r>
            <w:rPr>
              <w:rFonts w:ascii="PT Astra Serif" w:hAnsi="PT Astra Serif" w:cs="PT Astra Serif"/>
              <w:b/>
              <w:bCs/>
              <w:sz w:val="24"/>
              <w:szCs w:val="24"/>
              <w:u w:val="single"/>
            </w:rPr>
          </w:r>
          <w:r>
            <w:rPr>
              <w:rFonts w:ascii="PT Astra Serif" w:hAnsi="PT Astra Serif" w:cs="PT Astra Serif"/>
              <w:b/>
              <w:bCs/>
              <w:sz w:val="24"/>
              <w:szCs w:val="24"/>
              <w:u w:val="single"/>
            </w:rPr>
          </w:r>
        </w:p>
      </w:sdtContent>
    </w:sdt>
    <w:p>
      <w:pPr>
        <w:spacing w:after="0" w:line="240" w:lineRule="auto"/>
        <w:rPr>
          <w:rFonts w:ascii="PT Astra Serif" w:hAnsi="PT Astra Serif" w:cs="PT Astra Serif"/>
          <w:b/>
          <w:sz w:val="28"/>
          <w:szCs w:val="20"/>
        </w:rPr>
      </w:pPr>
      <w:r>
        <w:rPr>
          <w:rFonts w:ascii="PT Astra Serif" w:hAnsi="PT Astra Serif" w:eastAsia="PT Astra Serif" w:cs="PT Astra Serif"/>
        </w:rPr>
        <w:br w:type="page" w:clear="all"/>
      </w:r>
      <w:r>
        <w:rPr>
          <w:rFonts w:ascii="PT Astra Serif" w:hAnsi="PT Astra Serif" w:cs="PT Astra Serif"/>
          <w:b/>
          <w:sz w:val="28"/>
          <w:szCs w:val="20"/>
        </w:rPr>
      </w:r>
      <w:r>
        <w:rPr>
          <w:rFonts w:ascii="PT Astra Serif" w:hAnsi="PT Astra Serif" w:cs="PT Astra Serif"/>
          <w:b/>
          <w:sz w:val="28"/>
          <w:szCs w:val="20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" w:name="_Toc128319580"/>
      <w:r>
        <w:rPr>
          <w:rFonts w:ascii="PT Astra Serif" w:hAnsi="PT Astra Serif" w:eastAsia="PT Astra Serif" w:cs="PT Astra Serif"/>
        </w:rPr>
        <w:t xml:space="preserve">1. Извещение о проведении открытого аукциона</w:t>
      </w:r>
      <w:bookmarkEnd w:id="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4"/>
              <w:numPr>
                <w:ilvl w:val="0"/>
                <w:numId w:val="1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- управление торговли);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11" w:tooltip="mailto:dpr@krd.ru" w:history="1">
              <w:r>
                <w:rPr>
                  <w:rStyle w:val="863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863"/>
                  <w:rFonts w:ascii="PT Astra Serif" w:hAnsi="PT Astra Serif" w:eastAsia="PT Astra Serif" w:cs="PT Astra Serif"/>
                  <w:sz w:val="24"/>
                  <w:szCs w:val="24"/>
                </w:rPr>
                <w:t xml:space="preserve">@</w:t>
              </w:r>
              <w:r>
                <w:rPr>
                  <w:rStyle w:val="863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863"/>
                  <w:rFonts w:ascii="PT Astra Serif" w:hAnsi="PT Astra Serif" w:eastAsia="PT Astra Serif" w:cs="PT Astra Serif"/>
                  <w:sz w:val="24"/>
                  <w:szCs w:val="24"/>
                </w:rPr>
                <w:t xml:space="preserve">.</w:t>
              </w:r>
              <w:r>
                <w:rPr>
                  <w:rStyle w:val="863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854"/>
              <w:numPr>
                <w:ilvl w:val="0"/>
                <w:numId w:val="1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4"/>
              <w:numPr>
                <w:ilvl w:val="0"/>
                <w:numId w:val="1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22.10.2024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 12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2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4"/>
              <w:numPr>
                <w:ilvl w:val="0"/>
                <w:numId w:val="1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Предмет аукциона (с указанием лотов, количества НТО и мест их размещения)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868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Приложение № 1 к аукционной документации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366"/>
        </w:trPr>
        <w:tc>
          <w:tcPr>
            <w:tcW w:w="614" w:type="dxa"/>
            <w:textDirection w:val="lrTb"/>
            <w:noWrap w:val="false"/>
          </w:tcPr>
          <w:p>
            <w:pPr>
              <w:pStyle w:val="854"/>
              <w:numPr>
                <w:ilvl w:val="0"/>
                <w:numId w:val="1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4"/>
              <w:numPr>
                <w:ilvl w:val="0"/>
                <w:numId w:val="1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4"/>
              <w:numPr>
                <w:ilvl w:val="0"/>
                <w:numId w:val="1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4"/>
              <w:numPr>
                <w:ilvl w:val="0"/>
                <w:numId w:val="1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68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4"/>
              <w:numPr>
                <w:ilvl w:val="0"/>
                <w:numId w:val="1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68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13" w:tooltip="https://krd.ru/" w:history="1">
              <w:r>
                <w:rPr>
                  <w:rStyle w:val="863"/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</w:t>
              </w:r>
              <w:r>
                <w:rPr>
                  <w:rStyle w:val="863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63"/>
                  <w:rFonts w:ascii="PT Astra Serif" w:hAnsi="PT Astra Serif" w:eastAsia="PT Astra Serif" w:cs="PT Astra Serif"/>
                  <w:sz w:val="24"/>
                  <w:szCs w:val="24"/>
                </w:rPr>
                <w:t xml:space="preserve">krd</w:t>
              </w:r>
              <w:r>
                <w:rPr>
                  <w:rStyle w:val="863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63"/>
                  <w:rFonts w:ascii="PT Astra Serif" w:hAnsi="PT Astra Serif" w:eastAsia="PT Astra Serif" w:cs="PT Astra Serif"/>
                  <w:sz w:val="24"/>
                  <w:szCs w:val="24"/>
                </w:rPr>
                <w:t xml:space="preserve">ru</w:t>
              </w:r>
              <w:r>
                <w:rPr>
                  <w:rStyle w:val="863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68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4" w:tooltip="https://www.roseltorg.ru" w:history="1">
              <w:r>
                <w:rPr>
                  <w:rStyle w:val="863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68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4"/>
              <w:numPr>
                <w:ilvl w:val="0"/>
                <w:numId w:val="1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4"/>
              <w:numPr>
                <w:ilvl w:val="0"/>
                <w:numId w:val="1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 начала приёма заявок: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26.09.2024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11.10.2024 12.00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4"/>
              <w:numPr>
                <w:ilvl w:val="0"/>
                <w:numId w:val="1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Краснодар, ул. Кузнечная, 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16.10.2024 в 11:00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23.10.2024в 11:00</w:t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4"/>
              <w:numPr>
                <w:ilvl w:val="0"/>
                <w:numId w:val="1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4"/>
              <w:numPr>
                <w:ilvl w:val="0"/>
                <w:numId w:val="1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68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8"/>
        <w:rPr>
          <w:rFonts w:ascii="PT Astra Serif" w:hAnsi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</w:rPr>
      </w:r>
      <w:bookmarkStart w:id="2" w:name="_Toc128319581"/>
      <w:r>
        <w:rPr>
          <w:rFonts w:ascii="PT Astra Serif" w:hAnsi="PT Astra Serif" w:eastAsia="PT Astra Serif" w:cs="PT Astra Serif"/>
        </w:rPr>
        <w:t xml:space="preserve">1.1. Основные термины и определения</w:t>
      </w:r>
      <w:bookmarkEnd w:id="2"/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Для целей настояще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й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документации об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аукцион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применяются следующие основные термины и определения: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аккредитация - предоставление участнику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аукционная комиссия - коллегиальный орган, создан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ный для проведения открытого аукциона на право заключения договора о предоставлении права на размещение НТО и определения победителей аукциона. Состав аукционной комиссии утверждается постановлением администрации муниципального образования город Краснодар;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i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инициатор и организатор торгов - администрация муниципального образования город Краснодар, в лице управления торговли и бытового обслуживания населения администрации муниципального образования город Краснодар (далее - управление);</w:t>
      </w:r>
      <w:r>
        <w:rPr>
          <w:rFonts w:ascii="PT Astra Serif" w:hAnsi="PT Astra Serif" w:eastAsia="PT Astra Serif" w:cs="PT Astra Serif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нестационарный торговый объект (НТО) - торговый объект, представляющий собой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оператор электронной площадки - юридическое лицо независимо от его организационно-правовой формы, формы собственности, места нахож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дения или индивидуальный предприниматель, которые владеют электронной площадкой, необходимыми для её функционирования программно-аппаратными средствами и обеспечивают проведение электронных аукционов в соответствии с законодательством Российской Федерации;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открытый аукцион в электронной форме на право заключения договора о предоставлении права на размещение НТО на территории муниципального образования город Краснодар (аукцион) -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способ определения субъекта торговли, при котором победителем признаётся участник аукциона, предложивший наиболее высокую цену за право на заключение договора о предоставлении права на размещение НТО, а также в случаях, установленных Порядком организации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утверждённым постановлением адм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Краснодар», единственный участник аукциона (далее - победитель аукциона);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официальный источник публикации информации о проведении аукциона - официальный Интернет-портал администрации муниципального образования город Краснодар и городской Думы Краснодара: </w:t>
      </w:r>
      <w:hyperlink r:id="rId15" w:tooltip="http://www.krd.ru" w:history="1">
        <w:r>
          <w:rPr>
            <w:rStyle w:val="863"/>
            <w:rFonts w:ascii="PT Astra Serif" w:hAnsi="PT Astra Serif" w:eastAsia="PT Astra Serif" w:cs="PT Astra Serif"/>
            <w:sz w:val="24"/>
            <w:szCs w:val="24"/>
          </w:rPr>
          <w:t xml:space="preserve">www.krd.ru</w:t>
        </w:r>
      </w:hyperlink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(далее - Интернет-порт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ал) и сайт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электронной площадки: </w:t>
      </w:r>
      <w:hyperlink r:id="rId16" w:tooltip="https://www.roseltorg.ru" w:history="1">
        <w:r>
          <w:rPr>
            <w:rStyle w:val="863"/>
            <w:rFonts w:ascii="PT Astra Serif" w:hAnsi="PT Astra Serif" w:eastAsia="PT Astra Serif" w:cs="PT Astra Serif"/>
            <w:sz w:val="24"/>
            <w:szCs w:val="24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претендент на участие в аукционе - лицо, подавшее заявку на участие в аукционе;</w:t>
      </w:r>
      <w:r>
        <w:rPr>
          <w:rFonts w:ascii="PT Astra Serif" w:hAnsi="PT Astra Serif" w:eastAsia="PT Astra Serif" w:cs="PT Astra Serif"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регламент электронной площадки - документ, определяющий процедуру проведения аукциона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счёт участника аукциона - счёт, открываемый оператором электронной площадки на основании заявления участника после прохождения процедуры аккредитации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участник аукциона - юридическое лицо, индивидуальный предприниматель или самозанятое физическое лицо, подавшие заявку на участие в аукционе и допущенные к участию в аукционе;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электронный документ - документ, в котором информация представлена в электронно-цифровой форме, в том числе сканированные версии бумажных документов;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4" w:name="_Toc128319582"/>
      <w:r>
        <w:rPr>
          <w:rFonts w:ascii="PT Astra Serif" w:hAnsi="PT Astra Serif" w:eastAsia="PT Astra Serif" w:cs="PT Astra Serif" w:eastAsiaTheme="minorHAnsi"/>
        </w:rPr>
        <w:t xml:space="preserve">2. Форма заявки на участие в аукционе и инструкцию по ее заполнению</w:t>
      </w:r>
      <w:bookmarkEnd w:id="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Заявка на участие в аукционе соответствует форме, установленной приложением </w:t>
      </w:r>
      <w:r>
        <w:rPr>
          <w:rFonts w:ascii="PT Astra Serif" w:hAnsi="PT Astra Serif" w:eastAsia="PT Astra Serif" w:cs="PT Astra Serif"/>
          <w:sz w:val="24"/>
        </w:rPr>
        <w:t xml:space="preserve">    </w:t>
      </w:r>
      <w:r>
        <w:rPr>
          <w:rFonts w:ascii="PT Astra Serif" w:hAnsi="PT Astra Serif" w:eastAsia="PT Astra Serif" w:cs="PT Astra Serif"/>
          <w:sz w:val="24"/>
        </w:rPr>
        <w:t xml:space="preserve">№ </w:t>
      </w:r>
      <w:r>
        <w:rPr>
          <w:rFonts w:ascii="PT Astra Serif" w:hAnsi="PT Astra Serif" w:eastAsia="PT Astra Serif" w:cs="PT Astra Serif"/>
          <w:sz w:val="24"/>
        </w:rPr>
        <w:t xml:space="preserve">2</w:t>
      </w:r>
      <w:r>
        <w:rPr>
          <w:rFonts w:ascii="PT Astra Serif" w:hAnsi="PT Astra Serif" w:eastAsia="PT Astra Serif" w:cs="PT Astra Serif"/>
          <w:sz w:val="24"/>
        </w:rPr>
        <w:t xml:space="preserve"> к документации об аукционе.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5" w:name="_Toc128319583"/>
      <w:r>
        <w:rPr>
          <w:rFonts w:ascii="PT Astra Serif" w:hAnsi="PT Astra Serif" w:eastAsia="PT Astra Serif" w:cs="PT Astra Serif" w:eastAsiaTheme="minorHAnsi"/>
        </w:rPr>
        <w:t xml:space="preserve">3. Срок подачи заявок на участие в аукционе</w:t>
      </w:r>
      <w:bookmarkEnd w:id="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участия в аукционе претендент, получивший аккредитацию на электронной площадке, подает заявку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подать организатору торгов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/>
          <w:bCs/>
          <w:sz w:val="24"/>
          <w:u w:val="single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Срок подачи заявок на участие в аукционе: </w:t>
      </w:r>
      <w:r>
        <w:rPr>
          <w:rFonts w:ascii="PT Astra Serif" w:hAnsi="PT Astra Serif" w:eastAsia="PT Astra Serif" w:cs="PT Astra Serif" w:eastAsiaTheme="minorHAnsi"/>
          <w:b/>
          <w:bCs/>
          <w:sz w:val="24"/>
          <w:u w:val="single"/>
        </w:rPr>
        <w:t xml:space="preserve">с 26.09.2024 по 11.10.2024 12.00</w:t>
      </w:r>
      <w:r>
        <w:rPr>
          <w:rFonts w:ascii="PT Astra Serif" w:hAnsi="PT Astra Serif" w:cs="PT Astra Serif"/>
          <w:b/>
          <w:bCs/>
          <w:sz w:val="24"/>
          <w:u w:val="single"/>
        </w:rPr>
      </w:r>
      <w:r>
        <w:rPr>
          <w:rFonts w:ascii="PT Astra Serif" w:hAnsi="PT Astra Serif" w:cs="PT Astra Serif"/>
          <w:b/>
          <w:bCs/>
          <w:sz w:val="24"/>
          <w:u w:val="single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6" w:name="_Toc128319584"/>
      <w:r>
        <w:rPr>
          <w:rFonts w:ascii="PT Astra Serif" w:hAnsi="PT Astra Serif" w:eastAsia="PT Astra Serif" w:cs="PT Astra Serif" w:eastAsiaTheme="minorHAnsi"/>
        </w:rPr>
        <w:t xml:space="preserve">4. Перечень документов, прилагаемых к заявке на участие в аукционе</w:t>
      </w:r>
      <w:bookmarkEnd w:id="6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представляет на электронную площадку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заявку на участие в аукционе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согласно приложению №2 к аукционной документации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, подписанную электронной подписью претендента на участие в аукционе и содержащую следующую информацию: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дического лица, индивидуального п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редпринимателя 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документ, подтверждающий полномочия лица на осуще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учредительные документы претендента на участие в аукционе (для юридического лица);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подает только одну заявку на участие в аукционе в отношении одного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Заявка на участие в аукционе направляется претендентом на участие в аукционе из личного кабинета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7" w:name="_Toc128319585"/>
      <w:r>
        <w:rPr>
          <w:rFonts w:ascii="PT Astra Serif" w:hAnsi="PT Astra Serif" w:eastAsia="PT Astra Serif" w:cs="PT Astra Serif" w:eastAsiaTheme="minorHAnsi"/>
        </w:rPr>
        <w:t xml:space="preserve">5. Сведения о порядке и сроках отзыва заявок на участие в аукционе</w:t>
      </w:r>
      <w:bookmarkEnd w:id="7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аукционе, подавший заявку на участие в аукционе, вправе отозвать такую заявку не позднее окончания срока подачи заявок, направив об этом уведомление в управление посредством ф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ункционала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Любой участник аукциона,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 исключением участников, занявших первые два места в соответствии с протоколом о результатах аукциона, вправе отозвать свою заявку, направив уведомление об этом оператору электронной площадки с момента размещения на сайте протокола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аукциона. При этом регистрационные номера заявок других участников не изменяются.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8" w:name="_Toc128319586"/>
      <w:r>
        <w:rPr>
          <w:rFonts w:ascii="PT Astra Serif" w:hAnsi="PT Astra Serif" w:eastAsia="PT Astra Serif" w:cs="PT Astra Serif" w:eastAsiaTheme="minorHAnsi"/>
        </w:rPr>
        <w:t xml:space="preserve">6. Сведения о месте и дате рассмотрения заявок на участие в аукционе</w:t>
      </w:r>
      <w:bookmarkEnd w:id="8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54"/>
        <w:contextualSpacing w:val="0"/>
        <w:ind w:left="0"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Управление торговли и бытового обслуживания населения администрации муниципального образования город Краснодар, ул. Кузнечная, 6.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4"/>
        <w:contextualSpacing w:val="0"/>
        <w:ind w:left="0" w:firstLine="708"/>
        <w:jc w:val="both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рассмотрения заявок: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  <w:t xml:space="preserve">16.10.2024 в 11:00.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9" w:name="_Toc128319587"/>
      <w:r>
        <w:rPr>
          <w:rFonts w:ascii="PT Astra Serif" w:hAnsi="PT Astra Serif" w:eastAsia="PT Astra Serif" w:cs="PT Astra Serif" w:eastAsiaTheme="minorHAnsi"/>
        </w:rPr>
        <w:t xml:space="preserve">7. Порядок, даты начала и окончания предоставления участникам аукциона разъяснений положений документации об аукционе</w:t>
      </w:r>
      <w:bookmarkEnd w:id="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быть размещено управлением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укционе не позднее чем за 5 рабочих дней до даты окончания подачи заявок на участие в аукционе. Изменение предмета аукциона не допускается. В течение одного рабочего дня с даты принятия указанного решения такие изменения размещаются управлением в порядке,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установленном для размещения на сайте электронной площадки извещения о проведении аукциона. При этом срок подачи заявок на уча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стие в аукционе должен быть продлен таким образом, чтобы с даты размещения на сайте электронной площадки изменений, внесенных в документацию об аукционе, до даты окончания срока подачи заявок на участие в аукционе он составлял не менее 15 календарных дней.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0" w:name="_Toc128319588"/>
      <w:r>
        <w:rPr>
          <w:rFonts w:ascii="PT Astra Serif" w:hAnsi="PT Astra Serif" w:eastAsia="PT Astra Serif" w:cs="PT Astra Serif" w:eastAsiaTheme="minorHAnsi"/>
        </w:rPr>
        <w:t xml:space="preserve">8. Место, дата и время проведения аукциона</w:t>
      </w:r>
      <w:bookmarkEnd w:id="1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color w:val="ff0000"/>
        </w:rPr>
      </w:pPr>
      <w:r>
        <w:rPr>
          <w:rFonts w:ascii="PT Astra Serif" w:hAnsi="PT Astra Serif" w:eastAsia="PT Astra Serif" w:cs="PT Astra Serif" w:eastAsiaTheme="minorHAnsi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 является открытым по составу участников и проводится в форме электронного аукциона.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проведения аукциона: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 22.10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.2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024 12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.00.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14:ligatures w14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  <w:t xml:space="preserve">Место проведения аукциона: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  <w:lang w:val="ru-RU"/>
        </w:rPr>
        <w:t xml:space="preserve"> Электронная площадка: </w:t>
      </w:r>
      <w:hyperlink r:id="rId17" w:tooltip="https://www.roseltorg.ru" w:history="1">
        <w:r>
          <w:rPr>
            <w:rFonts w:ascii="PT Astra Serif" w:hAnsi="PT Astra Serif" w:eastAsia="PT Astra Serif" w:cs="PT Astra Serif"/>
            <w:b/>
            <w:bCs/>
            <w:sz w:val="24"/>
            <w:szCs w:val="24"/>
            <w:u w:val="single"/>
            <w:lang w:val="ru-RU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  <w14:ligatures w14:val="none"/>
        </w:rPr>
      </w:r>
      <w:r>
        <w:rPr>
          <w:rFonts w:ascii="PT Astra Serif" w:hAnsi="PT Astra Serif" w:cs="PT Astra Serif"/>
          <w:sz w:val="24"/>
          <w:szCs w:val="24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58"/>
        <w:ind w:left="708" w:firstLine="70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1" w:name="_Toc128319589"/>
      <w:r>
        <w:rPr>
          <w:rFonts w:ascii="PT Astra Serif" w:hAnsi="PT Astra Serif" w:eastAsia="PT Astra Serif" w:cs="PT Astra Serif" w:eastAsiaTheme="minorHAnsi"/>
        </w:rPr>
        <w:t xml:space="preserve">9. Требования к участникам аукциона, в том числе требование об отсутствии участников в реестре недобросовестных участников </w:t>
      </w:r>
      <w:r>
        <w:rPr>
          <w:rFonts w:ascii="PT Astra Serif" w:hAnsi="PT Astra Serif" w:eastAsia="PT Astra Serif" w:cs="PT Astra Serif" w:eastAsiaTheme="minorHAnsi"/>
        </w:rPr>
        <w:t xml:space="preserve">а</w:t>
      </w:r>
      <w:r>
        <w:rPr>
          <w:rFonts w:ascii="PT Astra Serif" w:hAnsi="PT Astra Serif" w:eastAsia="PT Astra Serif" w:cs="PT Astra Serif" w:eastAsiaTheme="minorHAnsi"/>
        </w:rPr>
        <w:t xml:space="preserve">укциона</w:t>
      </w:r>
      <w:bookmarkEnd w:id="1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лица, индивидуальные предпринимате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ли или самозанятые физические лица: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экономическая деятельность котор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ых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не находящ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еся в процессе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ликвидации (в отношении юридических лиц) или в случае отсутствия решения арбитражного суда о признании юридического лица (юридического лица, индивидуального предпринимателя и самозанятого физического лица) банкротом и об открытии конкурсного производства;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не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в течение 12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месяцев, предшествующих месяцу, в котором размещено извещение о проведении аукциона,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Краснодар, подтвержденных до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4) в установленном порядке вн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сш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обеспечение заявки на участие в аукционе;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5)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правомочность участника аукциона принимать участие в аукционе и заключать договор.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2" w:name="_Toc128319590"/>
      <w:r>
        <w:rPr>
          <w:rFonts w:ascii="PT Astra Serif" w:hAnsi="PT Astra Serif" w:eastAsia="PT Astra Serif" w:cs="PT Astra Serif" w:eastAsiaTheme="minorHAnsi"/>
        </w:rPr>
        <w:t xml:space="preserve">10. Размер задатка, срок и порядок внесения задатка</w:t>
      </w:r>
      <w:bookmarkEnd w:id="12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10.1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Размер задатка в отношении Лота установлен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в </w:t>
      </w:r>
      <w:r>
        <w:rPr>
          <w:rFonts w:ascii="PT Astra Serif" w:hAnsi="PT Astra Serif" w:eastAsia="PT Astra Serif" w:cs="PT Astra Serif" w:eastAsiaTheme="minorHAnsi"/>
          <w:sz w:val="24"/>
          <w:highlight w:val="none"/>
        </w:rPr>
        <w:t xml:space="preserve">5-ти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кратном размере от начальной цены открытого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Обеспечение заявок на участие в электронном аукционе представляется в виде задатка.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10.2. Для выполнения условий об аукционе и допуска к участию в аукционе каждый заявитель перечисляет на электронную торговую площадку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задаток в размере, указанном в аукционной документации, в порядке и в сроки, утвержденные регламентом электронной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10.3. Задатки возвращаются: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участникам аукциона, за исключением победителя и участника аукциона, который сделал предпоследнее предложение о цене предмета аукциона, в течение 5 (пяти) рабочих дней со дня опубликования протокола о результатах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 в течение 5 (пяти) рабочих дней с момента заключения договора с победителем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заявителям, не допущенным к участию в аукционе, в течение 5 (пяти) рабочих дней со дня опубликования протокола о рассмотрении заявок.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принятия организатором аукциона решения об отказе в проведении аукциона, в течение 5 (пяти) рабочих дней с даты размещения извещения об отказе в проведении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10.4. Разблокирование денежных средств осуществляется в порядке и сроки, согласно регламенту электронной 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10.5. Задатки не возвращаются: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единственному заявителю, заявка которого признана комиссией соответствующей аукционной документации, уклонившемуся или отказавшемуся от заключения Договора;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победителю аукциона, заявка которого признана комиссией соответствующей аукционной документации, уклонившемуся или отказавшемуся от заключения Договора по результатам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аукциона, уклонившемуся или отказавшемуся от подписания Договора, в случае признания Победителя аукциона уклонившимся от подписания Договора.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10.6. Сумма задатка, внесенного участником, с которым заключен Договор, засчитывается в счет оплаты Договора путем перечисления Оператором электронной площадки на счет, указанный организатором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аукциона для оплаты Договора.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3" w:name="_Toc128319591"/>
      <w:r>
        <w:rPr>
          <w:rFonts w:ascii="PT Astra Serif" w:hAnsi="PT Astra Serif" w:eastAsia="PT Astra Serif" w:cs="PT Astra Serif" w:eastAsiaTheme="minorHAnsi"/>
        </w:rPr>
        <w:t xml:space="preserve">11. Проект договора о предоставлении права на размещение НТО</w:t>
      </w:r>
      <w:bookmarkEnd w:id="1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35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4"/>
        <w:gridCol w:w="4822"/>
      </w:tblGrid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ДОГОВОР №  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 пред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оставлении права 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нестационарного торгового объекта на территории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г. Краснодар                                                                                                «____» ___________ 20___ г.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именуемая в дальнейшем "Администрация", в лице начальника (первого заместителя начальника) управления торговли и бытового обсл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уживания населения администрации муниципального образования город Краснодар (далее - управление), действующего на основании доверенности № ____ от _________, с одной стороны и _______________________________________________________________________________,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(наименование организации, Ф.И.О. индивидуального предпринимателя, самозанятого физического лица)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>
          <w:trHeight w:val="273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лице 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(должность, Ф.И.О.)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действующего на основании _________________________, именуемого в дальнейшем "Правополучатель", с другой стороны, а вместе именуемые "Стороны", заключили настоящий Договор о нижеследующем: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 Предмет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1192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1.1. На основании протокола аукционной комиссии по предоставлению права н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 размещение нестационарных торговых объектов на территории муниципального образования город Краснодар от _____________ № ______ Администрация предоставляет Правополучателю право на размещение сезонного нестационарного торгового объекта (далее - Объект):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23"/>
        </w:trPr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(тип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для осуществления торговой деятельности 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Borders>
              <w:top w:val="single" w:color="auto" w:sz="4" w:space="0"/>
            </w:tcBorders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(</w:t>
            </w: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специализация)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адресу: 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(место расположения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срок с _________ по _________ с периодом размещения (функционирования) с ____ по ________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(число, месяц)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 Права и обязанности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 Администрация вправе: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2.1.1. Осуществлять мероприятия по проверке соблюдения Правополучателем условий Договора и требований к размещению и эксплуатации Объекта в соответствии с </w:t>
            </w:r>
            <w:hyperlink r:id="rId18" w:tooltip="consultantplus://offline/ref=1218D3E2E8B0236D4DDC10D3C996584244E9E6E20184CBB970B3D9E57F0E06ACC7DDBE411D63414BF2D58B1A40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разделом II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 о размещении нестационарных торговых объектов на территории муниципального образования город Краснодар, утвержденного постановлением администрации муниципального образования город Краснодар от _________ № _____ (далее - Положение).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2.1.2. Демонтировать за счет Правополучателя установленные им конструкции в случае неисполнения Правополучателем обязанности, указанной в </w:t>
            </w:r>
            <w:hyperlink w:tooltip="#Par53" w:anchor="Par53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подпункте 2.3.8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2.2. Администрация обязуется обеспечить методическую и консультационную помощь Правополучателю в вопросах организации торговли и предоставления услуг населению.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 Правополучатель обязуется: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2.3.1. Использовать Объект в соответствии с назначением, указанным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без передачи права владения и пользования Объектом третьим лицам.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2.3.2. Обеспечить установку Объекта и его готовность к работе в соответствии с требованиями к размещению и эксплуатации нестационарного торгового объекта, предусмотренными разделом </w:t>
            </w:r>
            <w:r>
              <w:rPr>
                <w:rFonts w:ascii="PT Astra Serif" w:hAnsi="PT Astra Serif" w:eastAsia="PT Astra Serif" w:cs="PT Astra Serif" w:eastAsiaTheme="minorHAnsi"/>
                <w:bCs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Положения, архитектурным решением и графическим планом размещения Объекта (приложение к настоящему Договору).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2.3.3. Приступить к эксплуатации Объекта после заключения договоров на санитарную уборку территории, вывоз твердых коммунальных и жидких отходов, на подключение 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источникам энергообеспечения (последнее - при необходимости) со специализированными организациями, индивидуальными предпринимателями.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2.3.4. Обеспечить выполнение установленных законодательством Российской Федерации торг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овых, санитарных и противопожарных норм и правил организации работы для данного Объекта,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Контроль за соблюдением требовани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й, установленных абзацем первым настоящего пункта,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 уполномоченными на его проведение органами.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Мероприятия по проверке соблюдения Правополучателем условий настоящего Договора, не предусмотренных абзацем первым настоящего пункта, осуществляется работниками управления в рамках гражданско-правовых отношений.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2.3.5. Обеспечить выполнение установленных требований к организации и осуществлению торговой деятельности.</w:t>
            </w:r>
            <w:r>
              <w:rPr>
                <w:rFonts w:ascii="PT Astra Serif" w:hAnsi="PT Astra Serif" w:cs="PT Astra Serif" w:eastAsiaTheme="minorHAnsi"/>
              </w:rPr>
            </w:r>
            <w:r>
              <w:rPr>
                <w:rFonts w:ascii="PT Astra Serif" w:hAnsi="PT Astra Serif" w:cs="PT Astra Serif" w:eastAsiaTheme="minorHAnsi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2.3.6. Обеспечить постоянное наличие на Объекте и предъявление по требованию работников управления следующих документов: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настоящего Договора и графического </w:t>
            </w:r>
            <w:hyperlink r:id="rId19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плана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 (приложение к настоящему Договору);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вывески Объекта с указанием наименования организации, места ее нахождения (адреса) и режима ее работы;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информации о государственной регистрации в качестве юридического лица, индивидуального предпринимателя или самозанятого физического лица и наименовании зарегистрировавшего его органа;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трудовых договоров лиц, работающих на Объекте, за исключением индивидуальных предпринимателей, осуществляющих торговую деятельность самостоятельно и самозанятых физических лиц.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2.3.7.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Ежемесячно перечислять в местный бюджет (бюджет муниципального образования город Краснодар) предложенную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им сумму за право на размещение сезонного нестационарного торгового объекта на территории муниципального образования город Краснодар в размере ________ руб. (_________ рублей) в срок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 позднее 25-го числа месяца, предшествующего оплачиваемому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месяцу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,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 перечисляемой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в местный бюджет (бюджет муниципального образования город Краснодар) по следующим реквизитам: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Получатель: Администрация муниципального образования город Краснодар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Назначение платежа: «Плата за право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 НТО по Договору № ____».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Сумма оплаты за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первый месяц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срока действия настоящего Договора подлежит перечислению в местный бюджет (бюджет муниципального образования город Краснодар) в течение 3 (трех) банковских дней с момента его подписания.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Сумма платежа за право на размещение Объекта на территории муниципального образования город Краснодар за последний неполный месяц определяется пропорционально времени размещения Объекта в течение данного месяца.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говору.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2.3.8. Освободить занимаемую территорию от Объекта (его конструкций) и привести ее в первоначальное состояние в течение 7 (семи) календарных дней: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истечении периода функционирования Объекта, предусмотренного настоящим Договором;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 досрочном расторжении (отказе Администрации от) настоящего Договора в случаях, предусмотренных разделом 3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 Прекращение действия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3.1. Действие настоящего Договора прекращается по истечении срока, указанного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а также в случаях и в порядке, установленных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3.2. Настоящий Договор может быть расторгнут досрочно по соглашению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Расторжение настоящего Договора по соглашению Сторон возможно только при отсутствии у Правополучателя задолженности по оплате за Объект.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3.3. По требованию одной из Сторон настоящий Договор может быть расторгнут досрочно в судебном порядке по основаниям, предусмотренным действующим законодательством Российской Федерации и настоящим Договором.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3.4. Администрация вправе в одностороннем порядке отказаться от настоящего Договора, письменно уведомив об этом Правополучателя или его представителя, в случаях: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неустранения Правополучател</w:t>
            </w:r>
            <w:r>
              <w:rPr>
                <w:rFonts w:ascii="PT Astra Serif" w:hAnsi="PT Astra Serif" w:cs="PT Astra Serif" w:eastAsiaTheme="minorHAnsi"/>
              </w:rPr>
              <w:t xml:space="preserve">ем в пятидневный срок (при необходимости проведения работ по реконструкции объекта - тридцатидневный срок) нарушений, выявленных при обследовании Объекта и отраженных в акте нарушений подпунктов 2.3.1, 2.3.2, 2.3.5 пункта 2.3 раздела 2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нарушения Правополучателем </w:t>
            </w:r>
            <w:r>
              <w:rPr>
                <w:rFonts w:ascii="PT Astra Serif" w:hAnsi="PT Astra Serif" w:cs="PT Astra Serif" w:eastAsiaTheme="minorHAnsi"/>
              </w:rPr>
              <w:t xml:space="preserve">подпунктов </w:t>
            </w:r>
            <w:hyperlink w:tooltip="#Par35" w:anchor="Par35" w:history="1">
              <w:r>
                <w:rPr>
                  <w:rFonts w:ascii="PT Astra Serif" w:hAnsi="PT Astra Serif" w:cs="PT Astra Serif" w:eastAsiaTheme="minorHAnsi"/>
                </w:rPr>
                <w:t xml:space="preserve">2.3.3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, </w:t>
            </w:r>
            <w:hyperlink w:tooltip="#Par45" w:anchor="Par45" w:history="1">
              <w:r>
                <w:rPr>
                  <w:rFonts w:ascii="PT Astra Serif" w:hAnsi="PT Astra Serif" w:cs="PT Astra Serif" w:eastAsiaTheme="minorHAnsi"/>
                </w:rPr>
                <w:t xml:space="preserve">2.3.7 пункта 2.3 раздела 2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повторного нарушения Правополучателем </w:t>
            </w:r>
            <w:hyperlink w:tooltip="#Par37" w:anchor="Par37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2.3.6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выявленного при обследовании Объекта и отражённого в акте, а также подпункта 2.3.4 пункта 2.3 раздела 2 настоящего Договора, выявленного уполномоченными органами, ос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уществляющими проведение контрольных (надзорных) мероприятий в рамках Федерального закона от 31.07.2020 № 248-ФЗ «О государственном контроле (надзоре) и муниципальном контроле в Российской Федерации (в случае поступления указанной информации в управление);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строительства или реконструкции объекта федерального, регионального значения на территории земельного участка, на котором расположен Объект, при отсутствии возможности дальнейшей эксплуатации Объекта по месту его расположения;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использование земельного участка для решения вопросов местного значения, предусмотренных Федеральным законом от 06.10.2003 № 131-ФЗ «Об общих принципах местного самоуправления в Российской Федерации»;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установления управлением факта прекращения деятельности в качестве юридического лица, индивидуального предпринимателя, самозанятого физического лица.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Настоящий Договор считается прекращенным по истечении 5 (пяти) календарных дней с момента получения Правополучателем уведомления об отказе от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 Прочие условия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4.1. Изменения и дополнения к настоящему Договору действительны, если они оформлены письменно в форме дополнительных соглашений и подписаны уполномоченными представителями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4.2. Сторона в случае изменения адреса или иных реквизитов, указанных в настоящем Договоре, направляет в десятидневный срок другой Стороне письменное уведомление об изменении адреса или иных реквизитов, указанных в Договоре.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если одна из Сторон письменно не уведомила другую Сторону об изменении адреса, указанного в настоящем Договоре, все извещения и другие документы, отправленные по адресу, ранее указанному в настоящем Договоре, считаются врученными.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4.3. Взаимоотношения Сторон, не урегулированные настоящим Договором, регламентируются действующим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4.4. Настоящий Договор составлен в 2 (двух) экземплярах: для каждой Стороны по одному экземпляру.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4.5. Стороны освобож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даются от ответственности за неисполнение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йствия вышеуказанных обстоятельств свыше 2 (двух) месяцев Стороны вправе расторгнуть настоящий Договор. Бремя доказывания наступления действий непреодолимой силы ложится на Сторону, которая требует освобождения от ответственности вследствие её наступления.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Приложение: графический </w:t>
            </w:r>
            <w:hyperlink r:id="rId20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5. Реквизиты, адреса и подписи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ул. Красная, 122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Правополучатель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ИНН/КПП 2310032246/231001001,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к/с 40102810945370000010,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р/с 03100643000000011800,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21" w:tooltip="consultantplus://offline/ref=09326C82622E71E7A8ECA149509DFF304A7B360D16A24D375EADEA8A1014FCFAD56AE55061B32E32B0DBB01440U3IFJ" w:history="1">
              <w:r>
                <w:rPr>
                  <w:rFonts w:ascii="PT Astra Serif" w:hAnsi="PT Astra Serif" w:eastAsia="PT Astra Serif" w:cs="PT Astra Serif"/>
                  <w:color w:val="0000ff"/>
                </w:rPr>
                <w:t xml:space="preserve">ОКТМО</w:t>
              </w:r>
            </w:hyperlink>
            <w:r>
              <w:rPr>
                <w:rFonts w:ascii="PT Astra Serif" w:hAnsi="PT Astra Serif" w:eastAsia="PT Astra Serif" w:cs="PT Astra Serif"/>
              </w:rPr>
              <w:t xml:space="preserve"> 03701000, БИК 010349101;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КБК 90211109080040000120,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Южное ГУ Банка России//УФК по Краснодарскому краю, г. Краснодар.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Назначение платежа: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Плата за право размещения </w:t>
            </w:r>
            <w:r>
              <w:rPr>
                <w:rFonts w:ascii="PT Astra Serif" w:hAnsi="PT Astra Serif" w:eastAsia="PT Astra Serif" w:cs="PT Astra Serif"/>
              </w:rPr>
              <w:t xml:space="preserve">сезонного нестационарного торгового объекта по Договору №____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Начальник (заместитель начальника)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управления торговли и бытового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обслуживания населения администрации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</w:tbl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ПРИЛОЖЕНИЕ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к договору о предоставлении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права </w:t>
      </w:r>
      <w:r>
        <w:rPr>
          <w:rFonts w:ascii="PT Astra Serif" w:hAnsi="PT Astra Serif" w:eastAsia="PT Astra Serif" w:cs="PT Astra Serif" w:eastAsiaTheme="minorHAnsi"/>
        </w:rPr>
        <w:t xml:space="preserve">на размещение сезонного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нестационарного </w:t>
      </w:r>
      <w:r>
        <w:rPr>
          <w:rFonts w:ascii="PT Astra Serif" w:hAnsi="PT Astra Serif" w:eastAsia="PT Astra Serif" w:cs="PT Astra Serif" w:eastAsiaTheme="minorHAnsi"/>
        </w:rPr>
        <w:t xml:space="preserve">торгового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 территории </w:t>
      </w:r>
      <w:r>
        <w:rPr>
          <w:rFonts w:ascii="PT Astra Serif" w:hAnsi="PT Astra Serif" w:eastAsia="PT Astra Serif" w:cs="PT Astra Serif" w:eastAsiaTheme="minorHAnsi"/>
        </w:rPr>
        <w:t xml:space="preserve">муниципального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Утверждаю: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 (первый заместитель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начальника) </w:t>
      </w:r>
      <w:r>
        <w:rPr>
          <w:rFonts w:ascii="PT Astra Serif" w:hAnsi="PT Astra Serif" w:eastAsia="PT Astra Serif" w:cs="PT Astra Serif" w:eastAsiaTheme="minorHAnsi"/>
        </w:rPr>
        <w:t xml:space="preserve">управления торговли и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бытового обслуживания населения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администрации муниципального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"___" __________ 20___ г.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b/>
          <w:bCs/>
        </w:rPr>
        <w:t xml:space="preserve">Графический план </w:t>
      </w:r>
      <w:r>
        <w:rPr>
          <w:rFonts w:ascii="PT Astra Serif" w:hAnsi="PT Astra Serif" w:eastAsia="PT Astra Serif" w:cs="PT Astra Serif" w:eastAsiaTheme="minorHAnsi"/>
          <w:b/>
          <w:bCs/>
        </w:rPr>
        <w:t xml:space="preserve">размещения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(тип сезонного НТО, наименование, ФИО Праврполучателя)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для реализации___________________________________________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(специализация сезонного НТО)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по адресу________________________________________________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</w: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15115" cy="2162175"/>
                <wp:effectExtent l="6350" t="6350" r="6350" b="635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9399442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rcRect l="0" t="0" r="23599" b="0"/>
                        <a:stretch/>
                      </pic:blipFill>
                      <pic:spPr bwMode="auto">
                        <a:xfrm flipH="0" flipV="0">
                          <a:off x="0" y="0"/>
                          <a:ext cx="3915110" cy="216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8.28pt;height:170.25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8"/>
        <w:rPr>
          <w:rFonts w:ascii="PT Astra Serif" w:hAnsi="PT Astra Serif" w:cs="PT Astra Serif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1" w:name="_Toc128319592"/>
      <w:r>
        <w:rPr>
          <w:rFonts w:ascii="PT Astra Serif" w:hAnsi="PT Astra Serif" w:eastAsia="PT Astra Serif" w:cs="PT Astra Serif" w:eastAsiaTheme="minorHAnsi"/>
        </w:rPr>
        <w:t xml:space="preserve">12. Сведения о порядке определения победителя</w:t>
      </w:r>
      <w:bookmarkEnd w:id="21"/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установленные в извещении о проведении аукциона время и дату</w:t>
      </w: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 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(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22.10.2024 в 12:00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)</w:t>
      </w:r>
      <w:r>
        <w:rPr>
          <w:rFonts w:ascii="PT Astra Serif" w:hAnsi="PT Astra Serif" w:eastAsia="PT Astra Serif" w:cs="PT Astra Serif" w:eastAsiaTheme="minorHAnsi"/>
          <w:b/>
          <w:bCs/>
          <w:sz w:val="24"/>
        </w:rPr>
        <w:t xml:space="preserve">.</w:t>
      </w:r>
      <w:r>
        <w:rPr>
          <w:rFonts w:ascii="PT Astra Serif" w:hAnsi="PT Astra Serif" w:cs="PT Astra Serif"/>
          <w:b/>
          <w:bCs/>
          <w:sz w:val="24"/>
        </w:rPr>
      </w:r>
      <w:r>
        <w:rPr>
          <w:rFonts w:ascii="PT Astra Serif" w:hAnsi="PT Astra Serif" w:cs="PT Astra Serif"/>
          <w:b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/>
        </w:rPr>
      </w:r>
      <w:bookmarkStart w:id="22" w:name="Par1"/>
      <w:r>
        <w:rPr>
          <w:rFonts w:ascii="PT Astra Serif" w:hAnsi="PT Astra Serif" w:eastAsia="PT Astra Serif" w:cs="PT Astra Serif"/>
        </w:rPr>
      </w:r>
      <w:bookmarkEnd w:id="22"/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При проведении аукциона устанавливается время приёма предложений, составляющ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НТО, а также 10 м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инут после поступления последнего предложения о стоимости права на заключение договора о предоставлении права на размещение НТО. Время приёма предложений обновляется автоматически при помощи программных 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Если в течение указанного срока ни одного предложения не поступило, аукцион автоматически завершается при помощи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случае если ни один из участников аукциона не сделал «шаг аукциона», аукцион считается несостоявшимся. Договор о предоставлении права на размещение НТО заключается с участником аукциона, подавшим заявку первым.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путём повышения начальной цены предмета аукциона, указанной в извещении о проведении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Величина повышения начальной цены предмета аукциона «шаг аукциона» составляет пять процентов от начальной цены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фиксирует предложения участников аукциона, с указанием времени поступления указанных предложений.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После поступления последнего предложения аукцион автоматически завершается при помощи технических средств оператора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проведения аукциона оператором электронной площадки оформляется протокол проведения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проведения аукциона размещается оператором элек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тронной площадки на электронной площадке после окончания аукциона в день его проведения. В протоколе проведения аукциона указываются адрес электронной площадки, дата, время начала и окончания аукциона, начальная (минимальная) стоимость права на заключение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договора о предоставлении права на размещение НТО, сведения об участниках аукциона, все максимальные предложения о стоимости права заключения договора о предоставлении права на размещение НТО, сделанные участниками аукциона и ранжированные по мере возраста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ния, с указанием порядковых номеров, присвоенных заявкам на участие в аукционе, которые поданы участниками аукциона, сделавшими соответствующие предложения о цене аукциона, и с указанием времени поступления данных предложений по местному времени участника.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Участник аукциона после размещения на электронной площадке протокола проведения аукциона имеет право направи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ть оператору электронной площадки запрос о разъяснении содержания протокола проведения аукциона.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обязан обеспечить непрерывность проведения аукциона, на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дежность функционирования программных и технических средств, используемых для проведения аукциона, равный доступ участников аукциона к участию в нем, а также выполнение действий, предусмотренных настоящим разделом, независимо от времени окончания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срок не позднее трёх рабочих дней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о результатах аукциона в течение одного рабочего дня с момента его оформления направляется аукционной комиссией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в течение одного рабочего дня с момента поступления протокола о результатах аукциона размещает его на сайте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прекращает блокирование операций по счетам претендентов на участие в аукционе, подавших заявки на участие в аукционе, признанных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аукционной комиссией не соответствующими требованиям Порядка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рганизации и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утверждённого постановлением администрации муниципального образов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ания город Краснодар от 17.08.2022 № 3734 «О размещении нестационарных торговых объектов на территории муниципального образования город Краснодар», и документации об аукционе, в отношении денежных средств в размере обеспечения заявки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3" w:name="_Toc128319593"/>
      <w:r>
        <w:rPr>
          <w:rFonts w:ascii="PT Astra Serif" w:hAnsi="PT Astra Serif" w:eastAsia="PT Astra Serif" w:cs="PT Astra Serif" w:eastAsiaTheme="minorHAnsi"/>
        </w:rPr>
        <w:t xml:space="preserve">13. Начальный (минимальный) размер стоимости договора о предоставлении права на размещение НТО</w:t>
      </w:r>
      <w:bookmarkEnd w:id="2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размер стоимости договора о предоставлении права на размещение НТО определяется управ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лением согласно Методике определения начальной (минимальной)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род Краснодар (далее - Методика), утверждённой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hAnsi="PT Astra Serif" w:eastAsia="PT Astra Serif" w:cs="PT Astra Serif" w:eastAsiaTheme="minorHAnsi"/>
          <w:sz w:val="24"/>
          <w:highlight w:val="none"/>
        </w:rPr>
      </w: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</w:t>
      </w:r>
      <w:r>
        <w:rPr>
          <w:rFonts w:ascii="PT Astra Serif" w:hAnsi="PT Astra Serif" w:eastAsia="PT Astra Serif" w:cs="PT Astra Serif" w:eastAsiaTheme="minorHAnsi"/>
          <w:sz w:val="24"/>
          <w:highlight w:val="none"/>
        </w:rPr>
        <w:t xml:space="preserve">размер стоимости договора в отношении каждого лота указан в приложении № 1 к аукционной документации.</w:t>
      </w:r>
      <w:r>
        <w:rPr>
          <w:rFonts w:ascii="PT Astra Serif" w:hAnsi="PT Astra Serif" w:cs="PT Astra Serif"/>
          <w:sz w:val="24"/>
          <w:szCs w:val="24"/>
          <w:u w:val="single"/>
        </w:rPr>
      </w:r>
      <w:r>
        <w:rPr>
          <w:rFonts w:ascii="PT Astra Serif" w:hAnsi="PT Astra Serif" w:cs="PT Astra Serif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4" w:name="_Toc128319594"/>
      <w:r>
        <w:rPr>
          <w:rFonts w:ascii="PT Astra Serif" w:hAnsi="PT Astra Serif" w:eastAsia="PT Astra Serif" w:cs="PT Astra Serif" w:eastAsiaTheme="minorHAnsi"/>
        </w:rPr>
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</w:r>
      <w:bookmarkEnd w:id="2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Договор о предоставлении права на размещение НТО заключается на условиях, указанных в извещении о проведении аукциона и до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кументации об аукционе, по цене, предложенной победителем аукциона, либо в случае заключения договора о предоставлении права на размещение НТО с иным участником аукциона по цене, предложенной таким участником аукциона, но не меньше начальной цены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Задаток победителя аукциона засчитывается в счет исполнения обязательств по договору 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предоставлении права на размещение НТО.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А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укционной документацией предусмотрено обязательство по внесению победителем аукциона или участником аукциона, сделавшим предпоследнее предложение о цене аукциона, первого платежа по договору</w:t>
      </w:r>
      <w:r>
        <w:rPr>
          <w:rFonts w:ascii="PT Astra Serif" w:hAnsi="PT Astra Serif" w:eastAsia="PT Astra Serif" w:cs="PT Astra Serif" w:eastAsiaTheme="minorHAnsi"/>
          <w:sz w:val="24"/>
        </w:rPr>
        <w:t xml:space="preserve">. В случае, если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сумма задатка превышает сумму такого платежа, разница между суммой задатка и суммой первого платежа по договору возвращается на сч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т победителя аукциона или участника аукциона, сделавшего предпоследнее предложение о цене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Договору.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5" w:name="_Toc128319595"/>
      <w:r>
        <w:rPr>
          <w:rFonts w:ascii="PT Astra Serif" w:hAnsi="PT Astra Serif" w:eastAsia="PT Astra Serif" w:cs="PT Astra Serif" w:eastAsiaTheme="minorHAnsi"/>
        </w:rPr>
        <w:t xml:space="preserve">15. Величина повышения начальной цены договора о предоставлении права на размещение НТО («шаг аукциона»)</w:t>
      </w:r>
      <w:bookmarkEnd w:id="2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Шаг аукциона составляет пять процентов от начальной цены лота.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</w:rPr>
      </w:r>
      <w:bookmarkStart w:id="26" w:name="_Toc128319596"/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16. Сведения о сроке, в течение которого должен быть подписан договор о предоставлении права на размещение НТО</w:t>
      </w:r>
      <w:bookmarkEnd w:id="26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5 рабочих дней со дня размещения на электронной площадке протокола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результатах аукциона управление направляет победителю аукциона проект договора, который составляется путем включения цены договора, предложенной участником аукциона, с которым заключается договор, в проект договора, прилагаемый к аукционной документации.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Заключение договора о предоставлении права на размещение НТО может осуществляться как в электронной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форме с применением функционала электронной площадки, так и вне электронной площадки в соответствии с законодательством Российской Федерации, и с необходимым подтверждением его заключения управлением через функционал электронной площадки в личном кабинете.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договора. Подписанный договор победитель аукциона обязан представить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 может быть заключен не позднее 15 рабочих дней с даты размещения на электронной площадке протокола о результатах аукциона (протокола об отказе в заключении договора).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3 рабочих дней с даты заключения договора управление размещает подписанный сторонами договор на электронной площадке.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7" w:name="_Toc128319597"/>
      <w:r>
        <w:rPr>
          <w:rFonts w:ascii="PT Astra Serif" w:hAnsi="PT Astra Serif" w:eastAsia="PT Astra Serif" w:cs="PT Astra Serif" w:eastAsiaTheme="minorHAnsi"/>
        </w:rPr>
        <w:t xml:space="preserve">17. </w:t>
      </w:r>
      <w:r>
        <w:rPr>
          <w:rFonts w:ascii="PT Astra Serif" w:hAnsi="PT Astra Serif" w:eastAsia="PT Astra Serif" w:cs="PT Astra Serif" w:eastAsiaTheme="minorHAnsi"/>
        </w:rPr>
        <w:t xml:space="preserve">Архитектурное решение НТО</w:t>
      </w:r>
      <w:bookmarkEnd w:id="27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71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Внешний вид НТО Правилами благоустройства территории муниципального образования город Краснодар, утверждёнными решением городской Думы Краснодара от 22.08.2013 № 52п.6, не установлен.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58"/>
        <w:rPr>
          <w:rFonts w:ascii="PT Astra Serif" w:hAnsi="PT Astra Serif" w:cs="PT Astra Serif" w:eastAsiaTheme="minorHAnsi"/>
          <w14:ligatures w14:val="none"/>
        </w:rPr>
      </w:pPr>
      <w:r>
        <w:rPr>
          <w:rFonts w:ascii="PT Astra Serif" w:hAnsi="PT Astra Serif" w:cs="PT Astra Serif" w:eastAsiaTheme="minorHAnsi"/>
          <w:lang w:eastAsia="ru-RU"/>
        </w:rPr>
        <w:tab/>
      </w:r>
      <w:r>
        <w:rPr>
          <w:rFonts w:ascii="PT Astra Serif" w:hAnsi="PT Astra Serif" w:cs="PT Astra Serif" w:eastAsiaTheme="minorHAnsi"/>
        </w:rPr>
      </w:r>
      <w:bookmarkStart w:id="28" w:name="_Toc128319598"/>
      <w:r>
        <w:rPr>
          <w:rFonts w:ascii="PT Astra Serif" w:hAnsi="PT Astra Serif" w:cs="PT Astra Serif" w:eastAsiaTheme="minorHAnsi"/>
        </w:rPr>
        <w:t xml:space="preserve">18. </w:t>
      </w:r>
      <w:r>
        <w:rPr>
          <w:rFonts w:ascii="PT Astra Serif" w:hAnsi="PT Astra Serif" w:cs="PT Astra Serif" w:eastAsiaTheme="minorHAnsi"/>
        </w:rPr>
        <w:t xml:space="preserve">С</w:t>
      </w:r>
      <w:r>
        <w:rPr>
          <w:rFonts w:ascii="PT Astra Serif" w:hAnsi="PT Astra Serif" w:cs="PT Astra Serif" w:eastAsiaTheme="minorHAnsi"/>
        </w:rPr>
        <w:t xml:space="preserve">пециал</w:t>
      </w:r>
      <w:r>
        <w:rPr>
          <w:rFonts w:ascii="PT Astra Serif" w:hAnsi="PT Astra Serif" w:cs="PT Astra Serif" w:eastAsiaTheme="minorHAnsi"/>
        </w:rPr>
        <w:t xml:space="preserve">изация НТО</w:t>
      </w:r>
      <w:bookmarkEnd w:id="28"/>
      <w:r>
        <w:rPr>
          <w:rFonts w:ascii="PT Astra Serif" w:hAnsi="PT Astra Serif" w:cs="PT Astra Serif" w:eastAsiaTheme="minorHAnsi"/>
          <w14:ligatures w14:val="none"/>
        </w:rPr>
      </w:r>
      <w:r>
        <w:rPr>
          <w:rFonts w:ascii="PT Astra Serif" w:hAnsi="PT Astra Serif" w:cs="PT Astra Serif" w:eastAsiaTheme="minorHAnsi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Специализация НТО: </w:t>
      </w: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воздушные шары;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9" w:name="_Toc12831959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</w:t>
      </w:r>
      <w:r>
        <w:rPr>
          <w:rFonts w:ascii="PT Astra Serif" w:hAnsi="PT Astra Serif" w:eastAsia="PT Astra Serif" w:cs="PT Astra Serif" w:eastAsiaTheme="minorHAnsi"/>
        </w:rPr>
        <w:t xml:space="preserve">9. Период и срок размещения НТО</w:t>
      </w:r>
      <w:bookmarkEnd w:id="2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 w:eastAsiaTheme="minorHAnsi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отношении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лотов, указанных в приложении № 1 к аукционной документации -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период размещения: </w:t>
      </w:r>
      <w:r>
        <w:rPr>
          <w:rFonts w:ascii="PT Astra Serif" w:hAnsi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09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год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период функционирования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2024-2025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2025-2026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2026-2027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2027-2028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2028-2029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0" w:name="_Toc128319600"/>
      <w:r>
        <w:rPr>
          <w:rFonts w:ascii="PT Astra Serif" w:hAnsi="PT Astra Serif" w:eastAsia="PT Astra Serif" w:cs="PT Astra Serif" w:eastAsiaTheme="minorHAnsi"/>
        </w:rPr>
        <w:t xml:space="preserve">20. Сведения о проведении аукциона среди субъектов малого или среднего предпринимательства, осуществляющих торговую деятельн</w:t>
      </w:r>
      <w:r>
        <w:rPr>
          <w:rFonts w:ascii="PT Astra Serif" w:hAnsi="PT Astra Serif" w:eastAsia="PT Astra Serif" w:cs="PT Astra Serif" w:eastAsiaTheme="minorHAnsi"/>
        </w:rPr>
        <w:t xml:space="preserve">ость</w:t>
      </w:r>
      <w:bookmarkEnd w:id="3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 индивидуальные предприниматели и самозанятые физические лица, в том числе субъекты малого и среднего предпринимательства.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5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1" w:name="_Toc128319601"/>
      <w:r>
        <w:rPr>
          <w:rFonts w:ascii="PT Astra Serif" w:hAnsi="PT Astra Serif" w:eastAsia="PT Astra Serif" w:cs="PT Astra Serif" w:eastAsiaTheme="minorHAnsi"/>
        </w:rPr>
        <w:t xml:space="preserve">21. Иная информация,</w:t>
      </w:r>
      <w:r>
        <w:rPr>
          <w:rFonts w:ascii="PT Astra Serif" w:hAnsi="PT Astra Serif" w:eastAsia="PT Astra Serif" w:cs="PT Astra Serif" w:eastAsiaTheme="minorHAnsi"/>
        </w:rPr>
        <w:t xml:space="preserve"> касающаяся проведения аукциона</w:t>
      </w:r>
      <w:bookmarkEnd w:id="3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соответствии с Гражданским кодексом Российской Федерации, Федеральными  законами от 28.12.2009 № 381-ФЗ «Об основах государственного регулирования торговой деятельности в Россий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ской Федерации», от 06.10.2003 № 131-ФЗ «Об общих принципах организации местного самоуправления в Российской Федерации», от 26.07.2006 № 135-ФЗ «О защите конкуренции», Законом Краснодарского края от 31.05.2005 № 879-КЗ «О государственной политике Краснодар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ского края в сфере торговой деятельности», постановлением главы администрации (губернатора) Краснодарского края от 11.11.2014 № 1249 «Об утверждении Порядка разработки и утверждения органами местного самоуправления схем размещения нестационарных торговых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бъектов на территории Краснодарского края»,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28705872"/>
      <w:docPartObj>
        <w:docPartGallery w:val="Page Numbers (Top of Page)"/>
        <w:docPartUnique w:val="true"/>
      </w:docPartObj>
      <w:rPr/>
    </w:sdtPr>
    <w:sdtContent>
      <w:p>
        <w:pPr>
          <w:pStyle w:val="864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10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/>
      </w:p>
    </w:sdtContent>
  </w:sdt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1"/>
    <w:link w:val="850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49"/>
    <w:next w:val="849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1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1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1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49"/>
    <w:next w:val="849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1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49"/>
    <w:next w:val="849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1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49"/>
    <w:next w:val="849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1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49"/>
    <w:next w:val="849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1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51"/>
    <w:link w:val="858"/>
    <w:uiPriority w:val="10"/>
    <w:rPr>
      <w:sz w:val="48"/>
      <w:szCs w:val="48"/>
    </w:rPr>
  </w:style>
  <w:style w:type="paragraph" w:styleId="699">
    <w:name w:val="Subtitle"/>
    <w:basedOn w:val="849"/>
    <w:next w:val="849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1"/>
    <w:link w:val="699"/>
    <w:uiPriority w:val="11"/>
    <w:rPr>
      <w:sz w:val="24"/>
      <w:szCs w:val="24"/>
    </w:rPr>
  </w:style>
  <w:style w:type="paragraph" w:styleId="701">
    <w:name w:val="Quote"/>
    <w:basedOn w:val="849"/>
    <w:next w:val="849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49"/>
    <w:next w:val="849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1"/>
    <w:link w:val="864"/>
    <w:uiPriority w:val="99"/>
  </w:style>
  <w:style w:type="character" w:styleId="706">
    <w:name w:val="Footer Char"/>
    <w:basedOn w:val="851"/>
    <w:link w:val="866"/>
    <w:uiPriority w:val="99"/>
  </w:style>
  <w:style w:type="paragraph" w:styleId="707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66"/>
    <w:uiPriority w:val="99"/>
  </w:style>
  <w:style w:type="table" w:styleId="709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9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3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6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0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3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7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49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1"/>
    <w:uiPriority w:val="99"/>
    <w:unhideWhenUsed/>
    <w:rPr>
      <w:vertAlign w:val="superscript"/>
    </w:rPr>
  </w:style>
  <w:style w:type="paragraph" w:styleId="838">
    <w:name w:val="endnote text"/>
    <w:basedOn w:val="849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1"/>
    <w:uiPriority w:val="99"/>
    <w:semiHidden/>
    <w:unhideWhenUsed/>
    <w:rPr>
      <w:vertAlign w:val="superscript"/>
    </w:rPr>
  </w:style>
  <w:style w:type="paragraph" w:styleId="841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paragraph" w:styleId="850">
    <w:name w:val="Heading 1"/>
    <w:basedOn w:val="849"/>
    <w:next w:val="849"/>
    <w:link w:val="86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List Paragraph"/>
    <w:basedOn w:val="849"/>
    <w:link w:val="855"/>
    <w:uiPriority w:val="34"/>
    <w:qFormat/>
    <w:pPr>
      <w:contextualSpacing/>
      <w:ind w:left="720"/>
    </w:pPr>
    <w:rPr>
      <w:rFonts w:eastAsia="Calibri"/>
    </w:rPr>
  </w:style>
  <w:style w:type="character" w:styleId="855" w:customStyle="1">
    <w:name w:val="Абзац списка Знак"/>
    <w:link w:val="854"/>
    <w:uiPriority w:val="34"/>
    <w:rPr>
      <w:rFonts w:ascii="Calibri" w:hAnsi="Calibri" w:eastAsia="Calibri" w:cs="Times New Roman"/>
    </w:rPr>
  </w:style>
  <w:style w:type="paragraph" w:styleId="856">
    <w:name w:val="Body Text"/>
    <w:basedOn w:val="849"/>
    <w:link w:val="857"/>
    <w:uiPriority w:val="99"/>
    <w:pPr>
      <w:spacing w:after="120"/>
    </w:pPr>
    <w:rPr>
      <w:sz w:val="20"/>
      <w:szCs w:val="20"/>
    </w:rPr>
  </w:style>
  <w:style w:type="character" w:styleId="857" w:customStyle="1">
    <w:name w:val="Основной текст Знак"/>
    <w:basedOn w:val="851"/>
    <w:link w:val="856"/>
    <w:uiPriority w:val="99"/>
    <w:rPr>
      <w:rFonts w:ascii="Calibri" w:hAnsi="Calibri" w:eastAsia="Times New Roman" w:cs="Times New Roman"/>
      <w:sz w:val="20"/>
      <w:szCs w:val="20"/>
    </w:rPr>
  </w:style>
  <w:style w:type="paragraph" w:styleId="858">
    <w:name w:val="Title"/>
    <w:basedOn w:val="849"/>
    <w:link w:val="859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859" w:customStyle="1">
    <w:name w:val="Заголовок Знак"/>
    <w:basedOn w:val="851"/>
    <w:link w:val="858"/>
    <w:rPr>
      <w:rFonts w:ascii="Times New Roman" w:hAnsi="Times New Roman" w:eastAsia="Times New Roman" w:cs="Times New Roman"/>
      <w:b/>
      <w:sz w:val="28"/>
      <w:szCs w:val="20"/>
    </w:rPr>
  </w:style>
  <w:style w:type="character" w:styleId="860" w:customStyle="1">
    <w:name w:val="Заголовок 1 Знак"/>
    <w:basedOn w:val="851"/>
    <w:link w:val="850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61">
    <w:name w:val="TOC Heading"/>
    <w:basedOn w:val="850"/>
    <w:next w:val="849"/>
    <w:uiPriority w:val="39"/>
    <w:unhideWhenUsed/>
    <w:qFormat/>
    <w:pPr>
      <w:spacing w:line="259" w:lineRule="auto"/>
      <w:outlineLvl w:val="9"/>
    </w:pPr>
    <w:rPr>
      <w:lang w:eastAsia="ru-RU"/>
    </w:rPr>
  </w:style>
  <w:style w:type="paragraph" w:styleId="862">
    <w:name w:val="toc 1"/>
    <w:basedOn w:val="849"/>
    <w:next w:val="849"/>
    <w:uiPriority w:val="39"/>
    <w:unhideWhenUsed/>
    <w:pPr>
      <w:spacing w:after="100"/>
    </w:pPr>
  </w:style>
  <w:style w:type="character" w:styleId="863">
    <w:name w:val="Hyperlink"/>
    <w:basedOn w:val="851"/>
    <w:uiPriority w:val="99"/>
    <w:unhideWhenUsed/>
    <w:rPr>
      <w:color w:val="0563c1" w:themeColor="hyperlink"/>
      <w:u w:val="single"/>
    </w:rPr>
  </w:style>
  <w:style w:type="paragraph" w:styleId="864">
    <w:name w:val="Header"/>
    <w:basedOn w:val="849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851"/>
    <w:link w:val="864"/>
    <w:uiPriority w:val="99"/>
    <w:rPr>
      <w:rFonts w:ascii="Calibri" w:hAnsi="Calibri" w:eastAsia="Times New Roman" w:cs="Times New Roman"/>
    </w:rPr>
  </w:style>
  <w:style w:type="paragraph" w:styleId="866">
    <w:name w:val="Footer"/>
    <w:basedOn w:val="849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basedOn w:val="851"/>
    <w:link w:val="866"/>
    <w:uiPriority w:val="99"/>
    <w:rPr>
      <w:rFonts w:ascii="Calibri" w:hAnsi="Calibri" w:eastAsia="Times New Roman" w:cs="Times New Roman"/>
    </w:rPr>
  </w:style>
  <w:style w:type="paragraph" w:styleId="868" w:customStyle="1">
    <w:name w:val="основной"/>
    <w:basedOn w:val="849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  <w:style w:type="paragraph" w:styleId="869">
    <w:name w:val="toc 2"/>
    <w:basedOn w:val="849"/>
    <w:next w:val="849"/>
    <w:uiPriority w:val="39"/>
    <w:unhideWhenUsed/>
    <w:pPr>
      <w:ind w:left="220"/>
      <w:spacing w:after="100"/>
    </w:pPr>
  </w:style>
  <w:style w:type="character" w:styleId="870" w:customStyle="1">
    <w:name w:val="Неразрешенное упоминание1"/>
    <w:basedOn w:val="851"/>
    <w:uiPriority w:val="99"/>
    <w:semiHidden/>
    <w:unhideWhenUsed/>
    <w:rPr>
      <w:color w:val="605e5c"/>
      <w:shd w:val="clear" w:color="auto" w:fill="e1dfdd"/>
    </w:rPr>
  </w:style>
  <w:style w:type="paragraph" w:styleId="871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72">
    <w:name w:val="Balloon Text"/>
    <w:basedOn w:val="849"/>
    <w:link w:val="87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basedOn w:val="851"/>
    <w:link w:val="872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dpr@krd.ru" TargetMode="External"/><Relationship Id="rId12" Type="http://schemas.openxmlformats.org/officeDocument/2006/relationships/hyperlink" Target="https://www.roseltorg.ru" TargetMode="External"/><Relationship Id="rId13" Type="http://schemas.openxmlformats.org/officeDocument/2006/relationships/hyperlink" Target="https://krd.ru/" TargetMode="External"/><Relationship Id="rId14" Type="http://schemas.openxmlformats.org/officeDocument/2006/relationships/hyperlink" Target="https://www.roseltorg.ru" TargetMode="External"/><Relationship Id="rId15" Type="http://schemas.openxmlformats.org/officeDocument/2006/relationships/hyperlink" Target="http://www.krd.ru" TargetMode="External"/><Relationship Id="rId16" Type="http://schemas.openxmlformats.org/officeDocument/2006/relationships/hyperlink" Target="https://www.roseltorg.ru" TargetMode="External"/><Relationship Id="rId17" Type="http://schemas.openxmlformats.org/officeDocument/2006/relationships/hyperlink" Target="https://www.roseltorg.ru" TargetMode="External"/><Relationship Id="rId18" Type="http://schemas.openxmlformats.org/officeDocument/2006/relationships/hyperlink" Target="consultantplus://offline/ref=1218D3E2E8B0236D4DDC10D3C996584244E9E6E20184CBB970B3D9E57F0E06ACC7DDBE411D63414BF2D58B1A402631B795C51520A28457FDB5E48E55k47FK" TargetMode="External"/><Relationship Id="rId19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0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1" Type="http://schemas.openxmlformats.org/officeDocument/2006/relationships/hyperlink" Target="consultantplus://offline/ref=09326C82622E71E7A8ECA149509DFF304A7B360D16A24D375EADEA8A1014FCFAD56AE55061B32E32B0DBB01440U3IFJ" TargetMode="External"/><Relationship Id="rId2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DB50-2B3E-46B0-8E12-D88AE5FB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AMOgK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Жадан В.В.</dc:creator>
  <cp:keywords/>
  <dc:description/>
  <cp:revision>19</cp:revision>
  <dcterms:created xsi:type="dcterms:W3CDTF">2023-03-29T14:14:00Z</dcterms:created>
  <dcterms:modified xsi:type="dcterms:W3CDTF">2024-09-24T11:08:40Z</dcterms:modified>
</cp:coreProperties>
</file>