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6" w:rsidRPr="003D54A3" w:rsidRDefault="001B35F9" w:rsidP="001B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A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95953" w:rsidRPr="003D54A3" w:rsidRDefault="001B35F9" w:rsidP="00E95953">
      <w:pPr>
        <w:pStyle w:val="a3"/>
        <w:suppressAutoHyphens/>
        <w:rPr>
          <w:szCs w:val="28"/>
        </w:rPr>
      </w:pPr>
      <w:r w:rsidRPr="003D54A3">
        <w:rPr>
          <w:szCs w:val="28"/>
        </w:rPr>
        <w:t>о резу</w:t>
      </w:r>
      <w:r w:rsidR="0048537E" w:rsidRPr="003D54A3">
        <w:rPr>
          <w:szCs w:val="28"/>
        </w:rPr>
        <w:t>льтатах мониторинга реализации Б</w:t>
      </w:r>
      <w:r w:rsidRPr="003D54A3">
        <w:rPr>
          <w:szCs w:val="28"/>
        </w:rPr>
        <w:t>юджетного прогноза муниципального образования город Краснодар</w:t>
      </w:r>
      <w:r w:rsidR="00E95953" w:rsidRPr="003D54A3">
        <w:rPr>
          <w:szCs w:val="28"/>
        </w:rPr>
        <w:t xml:space="preserve"> </w:t>
      </w:r>
    </w:p>
    <w:p w:rsidR="00E95953" w:rsidRPr="003D54A3" w:rsidRDefault="002A119E" w:rsidP="00E95953">
      <w:pPr>
        <w:pStyle w:val="a3"/>
        <w:suppressAutoHyphens/>
        <w:rPr>
          <w:b w:val="0"/>
          <w:szCs w:val="28"/>
        </w:rPr>
      </w:pPr>
      <w:r w:rsidRPr="003D54A3">
        <w:rPr>
          <w:szCs w:val="28"/>
        </w:rPr>
        <w:t>на долгосрочный период до 2027</w:t>
      </w:r>
      <w:r w:rsidR="001B35F9" w:rsidRPr="003D54A3">
        <w:rPr>
          <w:szCs w:val="28"/>
        </w:rPr>
        <w:t xml:space="preserve"> года</w:t>
      </w:r>
      <w:r w:rsidR="00E95953" w:rsidRPr="003D54A3">
        <w:rPr>
          <w:b w:val="0"/>
          <w:szCs w:val="28"/>
        </w:rPr>
        <w:t xml:space="preserve"> </w:t>
      </w:r>
    </w:p>
    <w:p w:rsidR="001B35F9" w:rsidRPr="003D54A3" w:rsidRDefault="00B84746" w:rsidP="00E95953">
      <w:pPr>
        <w:pStyle w:val="a3"/>
        <w:suppressAutoHyphens/>
        <w:rPr>
          <w:szCs w:val="28"/>
        </w:rPr>
      </w:pPr>
      <w:r>
        <w:rPr>
          <w:szCs w:val="28"/>
        </w:rPr>
        <w:t>за 2024</w:t>
      </w:r>
      <w:r w:rsidR="00E95953" w:rsidRPr="003D54A3">
        <w:rPr>
          <w:szCs w:val="28"/>
        </w:rPr>
        <w:t xml:space="preserve"> год</w:t>
      </w:r>
    </w:p>
    <w:p w:rsidR="00176096" w:rsidRDefault="00176096" w:rsidP="001B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3AA" w:rsidRDefault="00C163AA" w:rsidP="001B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1AD" w:rsidRPr="004C725D" w:rsidRDefault="007B525A" w:rsidP="001938B4">
      <w:pPr>
        <w:pStyle w:val="FR4"/>
        <w:widowControl/>
        <w:ind w:firstLine="708"/>
        <w:rPr>
          <w:bCs/>
          <w:sz w:val="27"/>
          <w:szCs w:val="27"/>
        </w:rPr>
      </w:pPr>
      <w:r w:rsidRPr="004C725D">
        <w:rPr>
          <w:sz w:val="27"/>
          <w:szCs w:val="27"/>
        </w:rPr>
        <w:t>В соответствии с пунктом 13</w:t>
      </w:r>
      <w:r w:rsidR="00176096" w:rsidRPr="004C725D">
        <w:rPr>
          <w:sz w:val="27"/>
          <w:szCs w:val="27"/>
        </w:rPr>
        <w:t xml:space="preserve"> постановления</w:t>
      </w:r>
      <w:r w:rsidR="00176096" w:rsidRPr="004C725D">
        <w:rPr>
          <w:snapToGrid w:val="0"/>
          <w:sz w:val="27"/>
          <w:szCs w:val="27"/>
        </w:rPr>
        <w:t xml:space="preserve"> </w:t>
      </w:r>
      <w:r w:rsidR="00176096" w:rsidRPr="004C725D">
        <w:rPr>
          <w:sz w:val="27"/>
          <w:szCs w:val="27"/>
        </w:rPr>
        <w:t>администрации муниципального образован</w:t>
      </w:r>
      <w:r w:rsidRPr="004C725D">
        <w:rPr>
          <w:sz w:val="27"/>
          <w:szCs w:val="27"/>
        </w:rPr>
        <w:t xml:space="preserve">ия город </w:t>
      </w:r>
      <w:r w:rsidR="001938B4" w:rsidRPr="004C725D">
        <w:rPr>
          <w:sz w:val="27"/>
          <w:szCs w:val="27"/>
        </w:rPr>
        <w:t>Краснодар от 26.05.2023 № 228</w:t>
      </w:r>
      <w:r w:rsidR="00853289" w:rsidRPr="004C725D">
        <w:rPr>
          <w:sz w:val="27"/>
          <w:szCs w:val="27"/>
        </w:rPr>
        <w:t>1</w:t>
      </w:r>
      <w:r w:rsidR="002C09C3" w:rsidRPr="004C725D">
        <w:rPr>
          <w:sz w:val="27"/>
          <w:szCs w:val="27"/>
        </w:rPr>
        <w:t xml:space="preserve"> </w:t>
      </w:r>
      <w:r w:rsidR="00176096" w:rsidRPr="004C725D">
        <w:rPr>
          <w:sz w:val="27"/>
          <w:szCs w:val="27"/>
        </w:rPr>
        <w:t>«О По</w:t>
      </w:r>
      <w:r w:rsidR="0048537E" w:rsidRPr="004C725D">
        <w:rPr>
          <w:sz w:val="27"/>
          <w:szCs w:val="27"/>
        </w:rPr>
        <w:t>рядке разработки и утверждения Б</w:t>
      </w:r>
      <w:r w:rsidR="00176096" w:rsidRPr="004C725D">
        <w:rPr>
          <w:sz w:val="27"/>
          <w:szCs w:val="27"/>
        </w:rPr>
        <w:t xml:space="preserve">юджетного прогноза муниципального образования город Краснодар на долгосрочный период» </w:t>
      </w:r>
      <w:r w:rsidR="0051629C" w:rsidRPr="004C725D">
        <w:rPr>
          <w:sz w:val="27"/>
          <w:szCs w:val="27"/>
        </w:rPr>
        <w:t xml:space="preserve">департаментом финансов </w:t>
      </w:r>
      <w:r w:rsidR="0066680C" w:rsidRPr="004C725D">
        <w:rPr>
          <w:sz w:val="27"/>
          <w:szCs w:val="27"/>
        </w:rPr>
        <w:t xml:space="preserve">администрации муниципального образования город Краснодар </w:t>
      </w:r>
      <w:r w:rsidR="0051629C" w:rsidRPr="004C725D">
        <w:rPr>
          <w:sz w:val="27"/>
          <w:szCs w:val="27"/>
        </w:rPr>
        <w:t xml:space="preserve">проведён </w:t>
      </w:r>
      <w:r w:rsidR="001D0F49" w:rsidRPr="004C725D">
        <w:rPr>
          <w:sz w:val="27"/>
          <w:szCs w:val="27"/>
        </w:rPr>
        <w:t>мониторинг реализации Б</w:t>
      </w:r>
      <w:r w:rsidR="00A37A8E" w:rsidRPr="004C725D">
        <w:rPr>
          <w:sz w:val="27"/>
          <w:szCs w:val="27"/>
        </w:rPr>
        <w:t xml:space="preserve">юджетного прогноза </w:t>
      </w:r>
      <w:r w:rsidR="00324F80" w:rsidRPr="004C725D">
        <w:rPr>
          <w:sz w:val="27"/>
          <w:szCs w:val="27"/>
        </w:rPr>
        <w:t xml:space="preserve">муниципального образования город  Краснодар на период до </w:t>
      </w:r>
      <w:r w:rsidR="002A119E" w:rsidRPr="004C725D">
        <w:rPr>
          <w:sz w:val="27"/>
          <w:szCs w:val="27"/>
        </w:rPr>
        <w:t>2027</w:t>
      </w:r>
      <w:r w:rsidR="008E3477" w:rsidRPr="004C725D">
        <w:rPr>
          <w:sz w:val="27"/>
          <w:szCs w:val="27"/>
        </w:rPr>
        <w:t xml:space="preserve"> года, утвержд</w:t>
      </w:r>
      <w:r w:rsidR="000C2A4E" w:rsidRPr="004C725D">
        <w:rPr>
          <w:sz w:val="27"/>
          <w:szCs w:val="27"/>
        </w:rPr>
        <w:t>ённого постановлением администрации м</w:t>
      </w:r>
      <w:r w:rsidR="00B608DC" w:rsidRPr="004C725D">
        <w:rPr>
          <w:sz w:val="27"/>
          <w:szCs w:val="27"/>
        </w:rPr>
        <w:t>униципального образования город</w:t>
      </w:r>
      <w:r w:rsidR="000C2A4E" w:rsidRPr="004C725D">
        <w:rPr>
          <w:sz w:val="27"/>
          <w:szCs w:val="27"/>
        </w:rPr>
        <w:t xml:space="preserve"> Краснодар</w:t>
      </w:r>
      <w:r w:rsidR="002A119E" w:rsidRPr="004C725D">
        <w:rPr>
          <w:sz w:val="27"/>
          <w:szCs w:val="27"/>
        </w:rPr>
        <w:t xml:space="preserve"> от 08.02.2022 № 372</w:t>
      </w:r>
      <w:r w:rsidR="00B608DC" w:rsidRPr="004C725D">
        <w:rPr>
          <w:sz w:val="27"/>
          <w:szCs w:val="27"/>
        </w:rPr>
        <w:t xml:space="preserve"> </w:t>
      </w:r>
      <w:r w:rsidR="00B35AD1" w:rsidRPr="004C725D">
        <w:rPr>
          <w:sz w:val="27"/>
          <w:szCs w:val="27"/>
        </w:rPr>
        <w:t>(с изменениями от 09.02.2023</w:t>
      </w:r>
      <w:r w:rsidR="004D766F">
        <w:rPr>
          <w:sz w:val="27"/>
          <w:szCs w:val="27"/>
        </w:rPr>
        <w:t xml:space="preserve">                </w:t>
      </w:r>
      <w:r w:rsidR="00B35AD1" w:rsidRPr="004C725D">
        <w:rPr>
          <w:sz w:val="27"/>
          <w:szCs w:val="27"/>
        </w:rPr>
        <w:t xml:space="preserve"> № 549</w:t>
      </w:r>
      <w:r w:rsidR="004D0745" w:rsidRPr="004C725D">
        <w:rPr>
          <w:sz w:val="27"/>
          <w:szCs w:val="27"/>
        </w:rPr>
        <w:t>, от 08.02.2024</w:t>
      </w:r>
      <w:r w:rsidR="00853289" w:rsidRPr="004C725D">
        <w:rPr>
          <w:sz w:val="27"/>
          <w:szCs w:val="27"/>
        </w:rPr>
        <w:t xml:space="preserve"> </w:t>
      </w:r>
      <w:r w:rsidR="00067B3B" w:rsidRPr="004C725D">
        <w:rPr>
          <w:sz w:val="27"/>
          <w:szCs w:val="27"/>
        </w:rPr>
        <w:t>№ 497</w:t>
      </w:r>
      <w:r w:rsidR="004D0745" w:rsidRPr="004C725D">
        <w:rPr>
          <w:sz w:val="27"/>
          <w:szCs w:val="27"/>
        </w:rPr>
        <w:t>)</w:t>
      </w:r>
      <w:r w:rsidR="00C1774D" w:rsidRPr="004C725D">
        <w:rPr>
          <w:sz w:val="27"/>
          <w:szCs w:val="27"/>
        </w:rPr>
        <w:t xml:space="preserve"> </w:t>
      </w:r>
      <w:r w:rsidR="007538C9" w:rsidRPr="004C725D">
        <w:rPr>
          <w:sz w:val="27"/>
          <w:szCs w:val="27"/>
        </w:rPr>
        <w:t xml:space="preserve">(далее – Бюджетный прогноз) </w:t>
      </w:r>
      <w:r w:rsidR="00C1774D" w:rsidRPr="004C725D">
        <w:rPr>
          <w:sz w:val="27"/>
          <w:szCs w:val="27"/>
        </w:rPr>
        <w:t xml:space="preserve">на основе данных отчёта об исполнении местного бюджета (бюджета </w:t>
      </w:r>
      <w:r w:rsidR="009F340A" w:rsidRPr="004C725D">
        <w:rPr>
          <w:sz w:val="27"/>
          <w:szCs w:val="27"/>
        </w:rPr>
        <w:t>муниципального образования город Краснодар)</w:t>
      </w:r>
      <w:r w:rsidR="00F25452" w:rsidRPr="004C725D">
        <w:rPr>
          <w:sz w:val="27"/>
          <w:szCs w:val="27"/>
        </w:rPr>
        <w:t xml:space="preserve"> </w:t>
      </w:r>
      <w:r w:rsidR="00F77818" w:rsidRPr="004C725D">
        <w:rPr>
          <w:sz w:val="27"/>
          <w:szCs w:val="27"/>
        </w:rPr>
        <w:t>(далее – мест</w:t>
      </w:r>
      <w:r w:rsidR="00352513" w:rsidRPr="004C725D">
        <w:rPr>
          <w:sz w:val="27"/>
          <w:szCs w:val="27"/>
        </w:rPr>
        <w:t>ный бюджет)</w:t>
      </w:r>
      <w:r w:rsidR="00F77818" w:rsidRPr="004C725D">
        <w:rPr>
          <w:sz w:val="27"/>
          <w:szCs w:val="27"/>
        </w:rPr>
        <w:t xml:space="preserve"> </w:t>
      </w:r>
      <w:r w:rsidRPr="004C725D">
        <w:rPr>
          <w:sz w:val="27"/>
          <w:szCs w:val="27"/>
        </w:rPr>
        <w:t>за 202</w:t>
      </w:r>
      <w:r w:rsidR="00B84746" w:rsidRPr="004C725D">
        <w:rPr>
          <w:sz w:val="27"/>
          <w:szCs w:val="27"/>
        </w:rPr>
        <w:t>4</w:t>
      </w:r>
      <w:r w:rsidR="00F25452" w:rsidRPr="004C725D">
        <w:rPr>
          <w:sz w:val="27"/>
          <w:szCs w:val="27"/>
        </w:rPr>
        <w:t xml:space="preserve"> год.</w:t>
      </w:r>
      <w:r w:rsidR="00834B39" w:rsidRPr="004C725D">
        <w:rPr>
          <w:sz w:val="27"/>
          <w:szCs w:val="27"/>
        </w:rPr>
        <w:t xml:space="preserve"> </w:t>
      </w:r>
      <w:r w:rsidR="001938B4" w:rsidRPr="004C725D">
        <w:rPr>
          <w:sz w:val="27"/>
          <w:szCs w:val="27"/>
        </w:rPr>
        <w:t>П</w:t>
      </w:r>
      <w:r w:rsidR="00AB2C0D" w:rsidRPr="004C725D">
        <w:rPr>
          <w:sz w:val="27"/>
          <w:szCs w:val="27"/>
        </w:rPr>
        <w:t>оказатели Бюджетного прогноза</w:t>
      </w:r>
      <w:r w:rsidR="00F86116" w:rsidRPr="00F86116">
        <w:rPr>
          <w:sz w:val="27"/>
          <w:szCs w:val="27"/>
        </w:rPr>
        <w:t xml:space="preserve"> </w:t>
      </w:r>
      <w:r w:rsidR="00F86116" w:rsidRPr="004C725D">
        <w:rPr>
          <w:sz w:val="27"/>
          <w:szCs w:val="27"/>
        </w:rPr>
        <w:t>на 2024 год</w:t>
      </w:r>
      <w:r w:rsidR="00AB2C0D" w:rsidRPr="004C725D">
        <w:rPr>
          <w:sz w:val="27"/>
          <w:szCs w:val="27"/>
        </w:rPr>
        <w:t xml:space="preserve"> соответствуют основным характеристикам местного бюджета, утверждённого решением городской Думы К</w:t>
      </w:r>
      <w:r w:rsidR="006561AD" w:rsidRPr="004C725D">
        <w:rPr>
          <w:sz w:val="27"/>
          <w:szCs w:val="27"/>
        </w:rPr>
        <w:t>раснодара</w:t>
      </w:r>
      <w:r w:rsidR="00AB2C0D" w:rsidRPr="004C725D">
        <w:rPr>
          <w:sz w:val="27"/>
          <w:szCs w:val="27"/>
        </w:rPr>
        <w:t xml:space="preserve"> </w:t>
      </w:r>
      <w:r w:rsidR="00B84746" w:rsidRPr="004C725D">
        <w:rPr>
          <w:bCs/>
          <w:sz w:val="27"/>
          <w:szCs w:val="27"/>
        </w:rPr>
        <w:t>от 14.12.2023 № 67</w:t>
      </w:r>
      <w:r w:rsidR="006561AD" w:rsidRPr="004C725D">
        <w:rPr>
          <w:bCs/>
          <w:sz w:val="27"/>
          <w:szCs w:val="27"/>
        </w:rPr>
        <w:t xml:space="preserve"> п. 4 «О местном бюджете (бюджете муниципального </w:t>
      </w:r>
      <w:r w:rsidR="006561AD" w:rsidRPr="004C725D">
        <w:rPr>
          <w:sz w:val="27"/>
          <w:szCs w:val="27"/>
        </w:rPr>
        <w:t>образования город Краснодар)</w:t>
      </w:r>
      <w:r w:rsidR="006561AD" w:rsidRPr="004C725D">
        <w:rPr>
          <w:bCs/>
          <w:sz w:val="27"/>
          <w:szCs w:val="27"/>
        </w:rPr>
        <w:t xml:space="preserve"> </w:t>
      </w:r>
      <w:r w:rsidR="00B84746" w:rsidRPr="004C725D">
        <w:rPr>
          <w:sz w:val="27"/>
          <w:szCs w:val="27"/>
        </w:rPr>
        <w:t>на 2024</w:t>
      </w:r>
      <w:r w:rsidR="006561AD" w:rsidRPr="004C725D">
        <w:rPr>
          <w:sz w:val="27"/>
          <w:szCs w:val="27"/>
        </w:rPr>
        <w:t xml:space="preserve"> </w:t>
      </w:r>
      <w:r w:rsidR="00B84746" w:rsidRPr="004C725D">
        <w:rPr>
          <w:sz w:val="27"/>
          <w:szCs w:val="27"/>
        </w:rPr>
        <w:t>год и на плановый период 2025</w:t>
      </w:r>
      <w:r w:rsidR="006561AD" w:rsidRPr="004C725D">
        <w:rPr>
          <w:sz w:val="27"/>
          <w:szCs w:val="27"/>
        </w:rPr>
        <w:t xml:space="preserve"> и </w:t>
      </w:r>
      <w:r w:rsidR="00B84746" w:rsidRPr="004C725D">
        <w:rPr>
          <w:sz w:val="27"/>
          <w:szCs w:val="27"/>
        </w:rPr>
        <w:t>2026</w:t>
      </w:r>
      <w:r w:rsidR="006561AD" w:rsidRPr="004C725D">
        <w:rPr>
          <w:sz w:val="27"/>
          <w:szCs w:val="27"/>
        </w:rPr>
        <w:t xml:space="preserve"> годов»</w:t>
      </w:r>
      <w:r w:rsidR="00B84746" w:rsidRPr="004C725D">
        <w:rPr>
          <w:sz w:val="27"/>
          <w:szCs w:val="27"/>
        </w:rPr>
        <w:t xml:space="preserve"> (далее – решение от 14.12.2023 № 67</w:t>
      </w:r>
      <w:r w:rsidR="006561AD" w:rsidRPr="004C725D">
        <w:rPr>
          <w:sz w:val="27"/>
          <w:szCs w:val="27"/>
        </w:rPr>
        <w:t xml:space="preserve"> п. 4). </w:t>
      </w:r>
      <w:r w:rsidR="00011B72" w:rsidRPr="004C725D">
        <w:rPr>
          <w:sz w:val="27"/>
          <w:szCs w:val="27"/>
        </w:rPr>
        <w:t xml:space="preserve">В процессе исполнения местного бюджета </w:t>
      </w:r>
      <w:r w:rsidR="00F86116">
        <w:rPr>
          <w:sz w:val="27"/>
          <w:szCs w:val="27"/>
        </w:rPr>
        <w:t xml:space="preserve">в 2024 году </w:t>
      </w:r>
      <w:r w:rsidR="00277D56" w:rsidRPr="004C725D">
        <w:rPr>
          <w:sz w:val="27"/>
          <w:szCs w:val="27"/>
        </w:rPr>
        <w:t xml:space="preserve">решениями городской Думы Краснодара </w:t>
      </w:r>
      <w:r w:rsidR="001B6424" w:rsidRPr="004C725D">
        <w:rPr>
          <w:sz w:val="27"/>
          <w:szCs w:val="27"/>
        </w:rPr>
        <w:t xml:space="preserve">14 раз </w:t>
      </w:r>
      <w:r w:rsidR="002D4023">
        <w:rPr>
          <w:sz w:val="27"/>
          <w:szCs w:val="27"/>
        </w:rPr>
        <w:t>вносились</w:t>
      </w:r>
      <w:r w:rsidR="00277D56" w:rsidRPr="004C725D">
        <w:rPr>
          <w:sz w:val="27"/>
          <w:szCs w:val="27"/>
        </w:rPr>
        <w:t xml:space="preserve"> изменения в местный бюджет</w:t>
      </w:r>
      <w:r w:rsidR="004A4A5A">
        <w:rPr>
          <w:sz w:val="27"/>
          <w:szCs w:val="27"/>
        </w:rPr>
        <w:t xml:space="preserve"> на</w:t>
      </w:r>
      <w:r w:rsidR="002D4023">
        <w:rPr>
          <w:sz w:val="27"/>
          <w:szCs w:val="27"/>
        </w:rPr>
        <w:t xml:space="preserve"> </w:t>
      </w:r>
      <w:r w:rsidR="00011B72" w:rsidRPr="004C725D">
        <w:rPr>
          <w:sz w:val="27"/>
          <w:szCs w:val="27"/>
        </w:rPr>
        <w:t>2024 год</w:t>
      </w:r>
      <w:r w:rsidR="00277D56" w:rsidRPr="004C725D">
        <w:rPr>
          <w:sz w:val="27"/>
          <w:szCs w:val="27"/>
        </w:rPr>
        <w:t>.</w:t>
      </w:r>
      <w:r w:rsidR="00807F4A" w:rsidRPr="004C725D">
        <w:rPr>
          <w:sz w:val="27"/>
          <w:szCs w:val="27"/>
        </w:rPr>
        <w:t xml:space="preserve"> </w:t>
      </w:r>
      <w:r w:rsidR="00C163AA" w:rsidRPr="004C725D">
        <w:rPr>
          <w:sz w:val="27"/>
          <w:szCs w:val="27"/>
        </w:rPr>
        <w:t xml:space="preserve">Основные характеристики местного бюджета на 2024 год </w:t>
      </w:r>
      <w:r w:rsidR="00807F4A" w:rsidRPr="004C725D">
        <w:rPr>
          <w:sz w:val="27"/>
          <w:szCs w:val="27"/>
        </w:rPr>
        <w:t>скорректированы</w:t>
      </w:r>
      <w:r w:rsidR="00C163AA" w:rsidRPr="004C725D">
        <w:rPr>
          <w:sz w:val="27"/>
          <w:szCs w:val="27"/>
        </w:rPr>
        <w:t xml:space="preserve"> в сторону увеличения</w:t>
      </w:r>
      <w:r w:rsidR="00A46E04" w:rsidRPr="004C725D">
        <w:rPr>
          <w:sz w:val="27"/>
          <w:szCs w:val="27"/>
        </w:rPr>
        <w:t xml:space="preserve">, в том числе </w:t>
      </w:r>
      <w:r w:rsidR="00807F4A" w:rsidRPr="004C725D">
        <w:rPr>
          <w:sz w:val="27"/>
          <w:szCs w:val="27"/>
        </w:rPr>
        <w:t xml:space="preserve">увеличены бюджетные назначения </w:t>
      </w:r>
      <w:r w:rsidR="00A46E04" w:rsidRPr="004C725D">
        <w:rPr>
          <w:sz w:val="27"/>
          <w:szCs w:val="27"/>
        </w:rPr>
        <w:t xml:space="preserve">по доходам </w:t>
      </w:r>
      <w:r w:rsidR="00807F4A" w:rsidRPr="004C725D">
        <w:rPr>
          <w:sz w:val="27"/>
          <w:szCs w:val="27"/>
        </w:rPr>
        <w:t xml:space="preserve">на </w:t>
      </w:r>
      <w:r w:rsidR="00A46E04" w:rsidRPr="004C725D">
        <w:rPr>
          <w:sz w:val="27"/>
          <w:szCs w:val="27"/>
        </w:rPr>
        <w:t>сумму 23 410,5</w:t>
      </w:r>
      <w:r w:rsidR="00807F4A" w:rsidRPr="004C725D">
        <w:rPr>
          <w:sz w:val="27"/>
          <w:szCs w:val="27"/>
        </w:rPr>
        <w:t xml:space="preserve"> млн рублей,</w:t>
      </w:r>
      <w:r w:rsidR="00A46E04" w:rsidRPr="004C725D">
        <w:rPr>
          <w:sz w:val="27"/>
          <w:szCs w:val="27"/>
        </w:rPr>
        <w:t xml:space="preserve"> из них</w:t>
      </w:r>
      <w:r w:rsidR="00807F4A" w:rsidRPr="004C725D">
        <w:rPr>
          <w:sz w:val="27"/>
          <w:szCs w:val="27"/>
        </w:rPr>
        <w:t xml:space="preserve"> по налоговым и неналоговым доходам </w:t>
      </w:r>
      <w:r w:rsidR="00A46E04" w:rsidRPr="004C725D">
        <w:rPr>
          <w:sz w:val="27"/>
          <w:szCs w:val="27"/>
        </w:rPr>
        <w:t xml:space="preserve">– </w:t>
      </w:r>
      <w:r w:rsidR="00807F4A" w:rsidRPr="004C725D">
        <w:rPr>
          <w:sz w:val="27"/>
          <w:szCs w:val="27"/>
        </w:rPr>
        <w:t>на сумму 5 481,0 млн. рублей, по безвозмездным поступлениям – на сумму 17 929,5 млн рублей.</w:t>
      </w:r>
      <w:r w:rsidR="00A46E04" w:rsidRPr="004C725D">
        <w:rPr>
          <w:sz w:val="27"/>
          <w:szCs w:val="27"/>
        </w:rPr>
        <w:t xml:space="preserve"> План по расходам местного бюджета </w:t>
      </w:r>
      <w:r w:rsidR="00C163AA" w:rsidRPr="004C725D">
        <w:rPr>
          <w:sz w:val="27"/>
          <w:szCs w:val="27"/>
        </w:rPr>
        <w:t xml:space="preserve">на 2024 год </w:t>
      </w:r>
      <w:r w:rsidR="00A46E04" w:rsidRPr="004C725D">
        <w:rPr>
          <w:sz w:val="27"/>
          <w:szCs w:val="27"/>
        </w:rPr>
        <w:t xml:space="preserve">увеличен на </w:t>
      </w:r>
      <w:r w:rsidR="002D4023">
        <w:rPr>
          <w:sz w:val="27"/>
          <w:szCs w:val="27"/>
        </w:rPr>
        <w:t>сумму</w:t>
      </w:r>
      <w:r w:rsidR="00C163AA" w:rsidRPr="004C725D">
        <w:rPr>
          <w:sz w:val="27"/>
          <w:szCs w:val="27"/>
        </w:rPr>
        <w:t xml:space="preserve"> </w:t>
      </w:r>
      <w:r w:rsidR="008E7383">
        <w:rPr>
          <w:sz w:val="27"/>
          <w:szCs w:val="27"/>
        </w:rPr>
        <w:t>23 </w:t>
      </w:r>
      <w:r w:rsidR="00BC6A1D">
        <w:rPr>
          <w:sz w:val="27"/>
          <w:szCs w:val="27"/>
        </w:rPr>
        <w:t>794</w:t>
      </w:r>
      <w:r w:rsidR="008E7383">
        <w:rPr>
          <w:sz w:val="27"/>
          <w:szCs w:val="27"/>
        </w:rPr>
        <w:t>,0</w:t>
      </w:r>
      <w:r w:rsidR="00A46E04" w:rsidRPr="004C725D">
        <w:rPr>
          <w:sz w:val="27"/>
          <w:szCs w:val="27"/>
        </w:rPr>
        <w:t xml:space="preserve"> млн рублей. </w:t>
      </w:r>
    </w:p>
    <w:p w:rsidR="007B52E0" w:rsidRPr="004C725D" w:rsidRDefault="00756BB2" w:rsidP="004C725D">
      <w:pPr>
        <w:pStyle w:val="a3"/>
        <w:suppressAutoHyphens/>
        <w:ind w:firstLine="708"/>
        <w:jc w:val="both"/>
        <w:rPr>
          <w:sz w:val="27"/>
          <w:szCs w:val="27"/>
        </w:rPr>
      </w:pPr>
      <w:r w:rsidRPr="004C725D">
        <w:rPr>
          <w:b w:val="0"/>
          <w:sz w:val="27"/>
          <w:szCs w:val="27"/>
        </w:rPr>
        <w:t>В</w:t>
      </w:r>
      <w:r w:rsidR="00D460E6" w:rsidRPr="004C725D">
        <w:rPr>
          <w:b w:val="0"/>
          <w:sz w:val="27"/>
          <w:szCs w:val="27"/>
        </w:rPr>
        <w:t xml:space="preserve">се показатели </w:t>
      </w:r>
      <w:r w:rsidRPr="004C725D">
        <w:rPr>
          <w:b w:val="0"/>
          <w:sz w:val="27"/>
          <w:szCs w:val="27"/>
        </w:rPr>
        <w:t xml:space="preserve">Бюджетного прогноза на </w:t>
      </w:r>
      <w:r w:rsidR="004A4A5A">
        <w:rPr>
          <w:b w:val="0"/>
          <w:sz w:val="27"/>
          <w:szCs w:val="27"/>
        </w:rPr>
        <w:t>2024 год</w:t>
      </w:r>
      <w:r w:rsidR="00D460E6" w:rsidRPr="004C725D">
        <w:rPr>
          <w:b w:val="0"/>
          <w:sz w:val="27"/>
          <w:szCs w:val="27"/>
        </w:rPr>
        <w:t xml:space="preserve"> испо</w:t>
      </w:r>
      <w:r w:rsidR="004D0745" w:rsidRPr="004C725D">
        <w:rPr>
          <w:b w:val="0"/>
          <w:sz w:val="27"/>
          <w:szCs w:val="27"/>
        </w:rPr>
        <w:t>л</w:t>
      </w:r>
      <w:r w:rsidR="00B84746" w:rsidRPr="004C725D">
        <w:rPr>
          <w:b w:val="0"/>
          <w:sz w:val="27"/>
          <w:szCs w:val="27"/>
        </w:rPr>
        <w:t xml:space="preserve">нены </w:t>
      </w:r>
      <w:r w:rsidR="004A4A5A">
        <w:rPr>
          <w:b w:val="0"/>
          <w:sz w:val="27"/>
          <w:szCs w:val="27"/>
        </w:rPr>
        <w:t xml:space="preserve">с </w:t>
      </w:r>
      <w:r w:rsidR="00B84746" w:rsidRPr="004C725D">
        <w:rPr>
          <w:b w:val="0"/>
          <w:sz w:val="27"/>
          <w:szCs w:val="27"/>
        </w:rPr>
        <w:t>положительной динамикой.</w:t>
      </w:r>
      <w:r w:rsidR="007B52E0" w:rsidRPr="004C725D">
        <w:rPr>
          <w:b w:val="0"/>
          <w:sz w:val="27"/>
          <w:szCs w:val="27"/>
        </w:rPr>
        <w:t xml:space="preserve"> </w:t>
      </w:r>
      <w:r w:rsidR="006E0FB9" w:rsidRPr="004C725D">
        <w:rPr>
          <w:b w:val="0"/>
          <w:sz w:val="27"/>
          <w:szCs w:val="27"/>
        </w:rPr>
        <w:t>Оценка</w:t>
      </w:r>
      <w:r w:rsidR="009A6BC6" w:rsidRPr="004C725D">
        <w:rPr>
          <w:b w:val="0"/>
          <w:sz w:val="27"/>
          <w:szCs w:val="27"/>
        </w:rPr>
        <w:t xml:space="preserve"> достижения</w:t>
      </w:r>
      <w:r w:rsidR="00315B66" w:rsidRPr="004C725D">
        <w:rPr>
          <w:b w:val="0"/>
          <w:sz w:val="27"/>
          <w:szCs w:val="27"/>
        </w:rPr>
        <w:t xml:space="preserve"> </w:t>
      </w:r>
      <w:r w:rsidR="009A6BC6" w:rsidRPr="004C725D">
        <w:rPr>
          <w:b w:val="0"/>
          <w:sz w:val="27"/>
          <w:szCs w:val="27"/>
        </w:rPr>
        <w:t>показа</w:t>
      </w:r>
      <w:r w:rsidR="003D54A3" w:rsidRPr="004C725D">
        <w:rPr>
          <w:b w:val="0"/>
          <w:sz w:val="27"/>
          <w:szCs w:val="27"/>
        </w:rPr>
        <w:t xml:space="preserve">телей Бюджетного прогноза в </w:t>
      </w:r>
      <w:r w:rsidR="00B84746" w:rsidRPr="004C725D">
        <w:rPr>
          <w:b w:val="0"/>
          <w:sz w:val="27"/>
          <w:szCs w:val="27"/>
        </w:rPr>
        <w:t>2024</w:t>
      </w:r>
      <w:r w:rsidR="009A6BC6" w:rsidRPr="004C725D">
        <w:rPr>
          <w:b w:val="0"/>
          <w:sz w:val="27"/>
          <w:szCs w:val="27"/>
        </w:rPr>
        <w:t xml:space="preserve"> году</w:t>
      </w:r>
      <w:r w:rsidR="00315B66" w:rsidRPr="004C725D">
        <w:rPr>
          <w:b w:val="0"/>
          <w:sz w:val="27"/>
          <w:szCs w:val="27"/>
        </w:rPr>
        <w:t xml:space="preserve"> характеризуется следующими данными:</w:t>
      </w:r>
    </w:p>
    <w:p w:rsidR="007B52E0" w:rsidRPr="004C725D" w:rsidRDefault="007B52E0" w:rsidP="00756BB2">
      <w:pPr>
        <w:pStyle w:val="ConsPlusNormal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4C725D">
        <w:rPr>
          <w:rFonts w:ascii="Times New Roman" w:hAnsi="Times New Roman" w:cs="Times New Roman"/>
          <w:sz w:val="27"/>
          <w:szCs w:val="27"/>
        </w:rPr>
        <w:t>(млн рублей)</w:t>
      </w:r>
    </w:p>
    <w:p w:rsidR="007B52E0" w:rsidRPr="00874254" w:rsidRDefault="007B52E0" w:rsidP="00756BB2">
      <w:pPr>
        <w:spacing w:after="0" w:line="24" w:lineRule="auto"/>
        <w:rPr>
          <w:color w:val="FF0000"/>
          <w:sz w:val="2"/>
          <w:szCs w:val="2"/>
        </w:rPr>
      </w:pPr>
    </w:p>
    <w:p w:rsidR="007B52E0" w:rsidRPr="00874254" w:rsidRDefault="007B52E0" w:rsidP="00756BB2">
      <w:pPr>
        <w:tabs>
          <w:tab w:val="left" w:pos="709"/>
        </w:tabs>
        <w:spacing w:after="0"/>
        <w:jc w:val="both"/>
        <w:rPr>
          <w:color w:val="FF0000"/>
          <w:sz w:val="2"/>
          <w:szCs w:val="2"/>
        </w:rPr>
      </w:pPr>
    </w:p>
    <w:tbl>
      <w:tblPr>
        <w:tblStyle w:val="1"/>
        <w:tblW w:w="5000" w:type="pct"/>
        <w:jc w:val="center"/>
        <w:tblBorders>
          <w:bottom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2687"/>
        <w:gridCol w:w="1359"/>
        <w:gridCol w:w="1418"/>
        <w:gridCol w:w="1276"/>
        <w:gridCol w:w="2119"/>
      </w:tblGrid>
      <w:tr w:rsidR="007B52E0" w:rsidRPr="007B52E0" w:rsidTr="00807F4A">
        <w:trPr>
          <w:trHeight w:val="620"/>
          <w:jc w:val="center"/>
        </w:trPr>
        <w:tc>
          <w:tcPr>
            <w:tcW w:w="485" w:type="dxa"/>
            <w:vMerge w:val="restart"/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  <w:vAlign w:val="center"/>
          </w:tcPr>
          <w:p w:rsidR="007B52E0" w:rsidRPr="007B52E0" w:rsidRDefault="004C725D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59" w:type="dxa"/>
            <w:vMerge w:val="restart"/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</w:p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</w:p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</w:t>
            </w:r>
          </w:p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от 08.02.2024)</w:t>
            </w:r>
          </w:p>
        </w:tc>
        <w:tc>
          <w:tcPr>
            <w:tcW w:w="2694" w:type="dxa"/>
            <w:gridSpan w:val="2"/>
            <w:vAlign w:val="center"/>
          </w:tcPr>
          <w:p w:rsidR="007B52E0" w:rsidRPr="004E6BC6" w:rsidRDefault="00277D56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="00F8611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86116">
              <w:rPr>
                <w:rFonts w:ascii="Times New Roman" w:hAnsi="Times New Roman" w:cs="Times New Roman"/>
                <w:sz w:val="24"/>
                <w:szCs w:val="24"/>
              </w:rPr>
              <w:br/>
              <w:t>об испол</w:t>
            </w:r>
            <w:r w:rsidR="007B52E0" w:rsidRPr="007B52E0">
              <w:rPr>
                <w:rFonts w:ascii="Times New Roman" w:hAnsi="Times New Roman" w:cs="Times New Roman"/>
                <w:sz w:val="24"/>
                <w:szCs w:val="24"/>
              </w:rPr>
              <w:t>нении бюджета</w:t>
            </w:r>
            <w:r w:rsidR="00D556C7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 </w:t>
            </w:r>
          </w:p>
        </w:tc>
        <w:tc>
          <w:tcPr>
            <w:tcW w:w="2119" w:type="dxa"/>
            <w:vMerge w:val="restart"/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807F4A" w:rsidRPr="007B52E0" w:rsidTr="006C7771">
        <w:trPr>
          <w:trHeight w:val="619"/>
          <w:jc w:val="center"/>
        </w:trPr>
        <w:tc>
          <w:tcPr>
            <w:tcW w:w="485" w:type="dxa"/>
            <w:vMerge/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52E0" w:rsidRPr="007B52E0" w:rsidRDefault="00A46E04" w:rsidP="00A46E0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тверждено (с изм. в редакции от 24.12.2024 № 84 п. 1)</w:t>
            </w:r>
          </w:p>
        </w:tc>
        <w:tc>
          <w:tcPr>
            <w:tcW w:w="1276" w:type="dxa"/>
            <w:vAlign w:val="center"/>
          </w:tcPr>
          <w:p w:rsidR="007B52E0" w:rsidRPr="007B52E0" w:rsidRDefault="006C7771" w:rsidP="00A46E0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52E0" w:rsidRPr="007B52E0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  <w:tc>
          <w:tcPr>
            <w:tcW w:w="2119" w:type="dxa"/>
            <w:vMerge/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2E0" w:rsidRPr="00756BB2" w:rsidRDefault="007B52E0" w:rsidP="003020F5">
      <w:pPr>
        <w:spacing w:after="0" w:line="2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2687"/>
        <w:gridCol w:w="1359"/>
        <w:gridCol w:w="1418"/>
        <w:gridCol w:w="1276"/>
        <w:gridCol w:w="1134"/>
        <w:gridCol w:w="985"/>
      </w:tblGrid>
      <w:tr w:rsidR="004E6BC6" w:rsidRPr="007B52E0" w:rsidTr="006C7771">
        <w:trPr>
          <w:tblHeader/>
          <w:jc w:val="center"/>
        </w:trPr>
        <w:tc>
          <w:tcPr>
            <w:tcW w:w="485" w:type="dxa"/>
            <w:tcBorders>
              <w:bottom w:val="single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6 = 5 – 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7 = 5 – 4</w:t>
            </w:r>
          </w:p>
        </w:tc>
      </w:tr>
      <w:tr w:rsidR="004E6BC6" w:rsidRPr="007B52E0" w:rsidTr="006C7771">
        <w:trPr>
          <w:jc w:val="center"/>
        </w:trPr>
        <w:tc>
          <w:tcPr>
            <w:tcW w:w="485" w:type="dxa"/>
            <w:tcBorders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4E6BC6" w:rsidRDefault="002D4023" w:rsidP="00BF33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</w:t>
            </w:r>
            <w:r w:rsidR="007B52E0" w:rsidRPr="007B52E0">
              <w:rPr>
                <w:rFonts w:ascii="Times New Roman" w:hAnsi="Times New Roman" w:cs="Times New Roman"/>
                <w:sz w:val="24"/>
                <w:szCs w:val="24"/>
              </w:rPr>
              <w:t>м доходов</w:t>
            </w:r>
            <w:r w:rsidR="004E6BC6" w:rsidRPr="00A46E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6BC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3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2D4023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68 579,3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4E6BC6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91 989,8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4E6BC6" w:rsidP="004E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94 345,7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1B3528" w:rsidP="004E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+ 25 766,4</w:t>
            </w:r>
          </w:p>
        </w:tc>
        <w:tc>
          <w:tcPr>
            <w:tcW w:w="985" w:type="dxa"/>
            <w:tcBorders>
              <w:left w:val="dotted" w:sz="4" w:space="0" w:color="auto"/>
              <w:bottom w:val="dotted" w:sz="4" w:space="0" w:color="auto"/>
            </w:tcBorders>
          </w:tcPr>
          <w:p w:rsidR="007B52E0" w:rsidRPr="007B52E0" w:rsidRDefault="004E6BC6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B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2 355,9</w:t>
            </w:r>
          </w:p>
        </w:tc>
      </w:tr>
      <w:tr w:rsidR="004E6BC6" w:rsidRPr="007B52E0" w:rsidTr="006C7771">
        <w:trPr>
          <w:jc w:val="center"/>
        </w:trPr>
        <w:tc>
          <w:tcPr>
            <w:tcW w:w="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bottom w:w="28" w:type="dxa"/>
            </w:tcMar>
          </w:tcPr>
          <w:p w:rsidR="007B52E0" w:rsidRPr="007B52E0" w:rsidRDefault="007B52E0" w:rsidP="00BF33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4E6B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BC6" w:rsidRPr="007B52E0" w:rsidTr="006C7771">
        <w:trPr>
          <w:jc w:val="center"/>
        </w:trPr>
        <w:tc>
          <w:tcPr>
            <w:tcW w:w="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BF3302" w:rsidRDefault="007B52E0" w:rsidP="00BF33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29 245,9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34 726,9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38 006,8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+8 760,9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52E0" w:rsidRPr="007B52E0" w:rsidRDefault="001B352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+ 3 279,9</w:t>
            </w:r>
          </w:p>
        </w:tc>
      </w:tr>
      <w:tr w:rsidR="001B3528" w:rsidRPr="007B52E0" w:rsidTr="006C7771">
        <w:trPr>
          <w:jc w:val="center"/>
        </w:trPr>
        <w:tc>
          <w:tcPr>
            <w:tcW w:w="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528" w:rsidRPr="007B52E0" w:rsidRDefault="001B352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528" w:rsidRPr="007B52E0" w:rsidRDefault="001B3528" w:rsidP="00BF33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3528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39 333,4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3528" w:rsidRDefault="001B352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57 262,9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3528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56 338,9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3528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+ 17 005,5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B3528" w:rsidRDefault="001B352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-924,0</w:t>
            </w:r>
          </w:p>
        </w:tc>
      </w:tr>
      <w:tr w:rsidR="004E6BC6" w:rsidRPr="007B52E0" w:rsidTr="006C7771">
        <w:trPr>
          <w:jc w:val="center"/>
        </w:trPr>
        <w:tc>
          <w:tcPr>
            <w:tcW w:w="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2D4023" w:rsidP="00BF33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</w:t>
            </w:r>
            <w:r w:rsidR="007B52E0" w:rsidRPr="007B52E0">
              <w:rPr>
                <w:rFonts w:ascii="Times New Roman" w:hAnsi="Times New Roman" w:cs="Times New Roman"/>
                <w:sz w:val="24"/>
                <w:szCs w:val="24"/>
              </w:rPr>
              <w:t>м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71 479,3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95 273,3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92 455,9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+ 20 976,6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52E0" w:rsidRPr="007B52E0" w:rsidRDefault="001B352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- 2 817,4</w:t>
            </w:r>
          </w:p>
        </w:tc>
      </w:tr>
      <w:tr w:rsidR="004E6BC6" w:rsidRPr="007B52E0" w:rsidTr="006C7771">
        <w:trPr>
          <w:jc w:val="center"/>
        </w:trPr>
        <w:tc>
          <w:tcPr>
            <w:tcW w:w="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BF33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Дефицит (-) / профицит</w:t>
            </w:r>
            <w:r w:rsidR="00D26318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-2 900,0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- 3 283,5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D2631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1B3528">
              <w:rPr>
                <w:rFonts w:ascii="Times New Roman" w:hAnsi="Times New Roman" w:cs="Times New Roman"/>
                <w:sz w:val="24"/>
                <w:szCs w:val="24"/>
              </w:rPr>
              <w:t>1 889,8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6BC6" w:rsidRPr="007B52E0" w:rsidTr="006C7771">
        <w:trPr>
          <w:jc w:val="center"/>
        </w:trPr>
        <w:tc>
          <w:tcPr>
            <w:tcW w:w="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1B3528" w:rsidP="00BF33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муниципального образования город Краснодар </w:t>
            </w:r>
            <w:r w:rsidR="007B52E0" w:rsidRPr="007B5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B52E0" w:rsidRPr="007B52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7 283,3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1B35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2 815,0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1B352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-4 468,3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52E0" w:rsidRPr="007B52E0" w:rsidTr="003020F5">
        <w:trPr>
          <w:jc w:val="center"/>
        </w:trPr>
        <w:tc>
          <w:tcPr>
            <w:tcW w:w="4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52E0" w:rsidRPr="007B52E0" w:rsidRDefault="007B52E0" w:rsidP="005A0E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B52E0" w:rsidRPr="007B52E0" w:rsidRDefault="007B52E0" w:rsidP="00D263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1B3528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муниципального образования город Краснодар</w:t>
            </w: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их действия</w:t>
            </w:r>
          </w:p>
        </w:tc>
      </w:tr>
      <w:tr w:rsidR="004E6BC6" w:rsidRPr="007B52E0" w:rsidTr="006C7771">
        <w:trPr>
          <w:jc w:val="center"/>
        </w:trPr>
        <w:tc>
          <w:tcPr>
            <w:tcW w:w="485" w:type="dxa"/>
            <w:tcBorders>
              <w:top w:val="dotted" w:sz="4" w:space="0" w:color="auto"/>
              <w:right w:val="dotted" w:sz="4" w:space="0" w:color="auto"/>
            </w:tcBorders>
          </w:tcPr>
          <w:p w:rsidR="007B52E0" w:rsidRPr="007B52E0" w:rsidRDefault="002D4023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B52E0" w:rsidRPr="007B52E0" w:rsidRDefault="00D26318" w:rsidP="00D263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расходы в рамках муниципальных </w:t>
            </w:r>
            <w:r w:rsidR="007B52E0" w:rsidRPr="007B52E0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7B52E0" w:rsidRPr="007B52E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Краснодар</w:t>
            </w:r>
            <w:r w:rsidRPr="007B52E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их действия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D2631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68 333,4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B52E0" w:rsidRPr="007B52E0" w:rsidRDefault="00D2631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92 301,2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2E0" w:rsidRPr="007B52E0" w:rsidRDefault="00D2631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89 669,0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52E0" w:rsidRPr="007B52E0" w:rsidRDefault="00D2631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+21 335,6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B52E0" w:rsidRPr="007B52E0" w:rsidRDefault="00D26318" w:rsidP="005A0E3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-2 632,2</w:t>
            </w:r>
          </w:p>
        </w:tc>
      </w:tr>
    </w:tbl>
    <w:p w:rsidR="003D54A3" w:rsidRPr="003D54A3" w:rsidRDefault="003D54A3" w:rsidP="006F122D">
      <w:pPr>
        <w:pStyle w:val="a3"/>
        <w:suppressAutoHyphens/>
        <w:jc w:val="both"/>
        <w:rPr>
          <w:b w:val="0"/>
          <w:szCs w:val="28"/>
        </w:rPr>
      </w:pPr>
      <w:r w:rsidRPr="003D54A3">
        <w:rPr>
          <w:b w:val="0"/>
          <w:szCs w:val="28"/>
        </w:rPr>
        <w:t xml:space="preserve">             </w:t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</w:r>
      <w:r w:rsidRPr="003D54A3">
        <w:rPr>
          <w:b w:val="0"/>
          <w:szCs w:val="28"/>
        </w:rPr>
        <w:tab/>
        <w:t xml:space="preserve"> </w:t>
      </w:r>
      <w:r w:rsidR="001938B4">
        <w:rPr>
          <w:b w:val="0"/>
          <w:szCs w:val="28"/>
        </w:rPr>
        <w:t xml:space="preserve">       </w:t>
      </w:r>
    </w:p>
    <w:p w:rsidR="00011B72" w:rsidRPr="0063383C" w:rsidRDefault="00D26318" w:rsidP="00BC1B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383C">
        <w:rPr>
          <w:rFonts w:ascii="Times New Roman" w:hAnsi="Times New Roman" w:cs="Times New Roman"/>
          <w:sz w:val="27"/>
          <w:szCs w:val="27"/>
        </w:rPr>
        <w:t>Доходы местного бюджета за 2024</w:t>
      </w:r>
      <w:r w:rsidR="00D1071A" w:rsidRPr="0063383C">
        <w:rPr>
          <w:rFonts w:ascii="Times New Roman" w:hAnsi="Times New Roman" w:cs="Times New Roman"/>
          <w:sz w:val="27"/>
          <w:szCs w:val="27"/>
        </w:rPr>
        <w:t xml:space="preserve"> год</w:t>
      </w:r>
      <w:r w:rsidR="00B25CE8" w:rsidRPr="0063383C">
        <w:rPr>
          <w:rFonts w:ascii="Times New Roman" w:hAnsi="Times New Roman" w:cs="Times New Roman"/>
          <w:sz w:val="27"/>
          <w:szCs w:val="27"/>
        </w:rPr>
        <w:t xml:space="preserve"> </w:t>
      </w:r>
      <w:r w:rsidRPr="0063383C">
        <w:rPr>
          <w:rFonts w:ascii="Times New Roman" w:hAnsi="Times New Roman" w:cs="Times New Roman"/>
          <w:sz w:val="27"/>
          <w:szCs w:val="27"/>
        </w:rPr>
        <w:t xml:space="preserve">исполнены в сумме </w:t>
      </w:r>
      <w:r w:rsidR="006F122D" w:rsidRPr="0063383C">
        <w:rPr>
          <w:rFonts w:ascii="Times New Roman" w:hAnsi="Times New Roman" w:cs="Times New Roman"/>
          <w:sz w:val="27"/>
          <w:szCs w:val="27"/>
        </w:rPr>
        <w:t xml:space="preserve">94 345,7 </w:t>
      </w:r>
      <w:r w:rsidR="00B25CE8" w:rsidRPr="0063383C">
        <w:rPr>
          <w:rFonts w:ascii="Times New Roman" w:hAnsi="Times New Roman" w:cs="Times New Roman"/>
          <w:sz w:val="27"/>
          <w:szCs w:val="27"/>
        </w:rPr>
        <w:t>млн рублей, в том числе налоговые и ненал</w:t>
      </w:r>
      <w:r w:rsidR="003C7198" w:rsidRPr="0063383C">
        <w:rPr>
          <w:rFonts w:ascii="Times New Roman" w:hAnsi="Times New Roman" w:cs="Times New Roman"/>
          <w:sz w:val="27"/>
          <w:szCs w:val="27"/>
        </w:rPr>
        <w:t xml:space="preserve">оговые доходы – в сумме </w:t>
      </w:r>
      <w:r w:rsidR="006F122D" w:rsidRPr="0063383C">
        <w:rPr>
          <w:rFonts w:ascii="Times New Roman" w:hAnsi="Times New Roman" w:cs="Times New Roman"/>
          <w:sz w:val="27"/>
          <w:szCs w:val="27"/>
        </w:rPr>
        <w:t>38 006,8</w:t>
      </w:r>
      <w:r w:rsidR="002604D0" w:rsidRPr="0063383C">
        <w:rPr>
          <w:rFonts w:ascii="Times New Roman" w:hAnsi="Times New Roman" w:cs="Times New Roman"/>
          <w:sz w:val="27"/>
          <w:szCs w:val="27"/>
        </w:rPr>
        <w:t xml:space="preserve"> млн</w:t>
      </w:r>
      <w:r w:rsidR="00B25CE8" w:rsidRPr="0063383C">
        <w:rPr>
          <w:rFonts w:ascii="Times New Roman" w:hAnsi="Times New Roman" w:cs="Times New Roman"/>
          <w:sz w:val="27"/>
          <w:szCs w:val="27"/>
        </w:rPr>
        <w:t xml:space="preserve"> рублей, безвозмездны</w:t>
      </w:r>
      <w:r w:rsidR="006F122D" w:rsidRPr="0063383C">
        <w:rPr>
          <w:rFonts w:ascii="Times New Roman" w:hAnsi="Times New Roman" w:cs="Times New Roman"/>
          <w:sz w:val="27"/>
          <w:szCs w:val="27"/>
        </w:rPr>
        <w:t>е поступления – в сумме 56 338,9</w:t>
      </w:r>
      <w:r w:rsidR="00B25CE8" w:rsidRPr="0063383C">
        <w:rPr>
          <w:rFonts w:ascii="Times New Roman" w:hAnsi="Times New Roman" w:cs="Times New Roman"/>
          <w:sz w:val="27"/>
          <w:szCs w:val="27"/>
        </w:rPr>
        <w:t xml:space="preserve"> млн рублей.</w:t>
      </w:r>
      <w:r w:rsidR="006F122D" w:rsidRPr="0063383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1BBD" w:rsidRPr="0063383C" w:rsidRDefault="00BC1BBD" w:rsidP="00BC1B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383C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реали</w:t>
      </w:r>
      <w:r w:rsidR="00872162" w:rsidRPr="006338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зации налоговой политики в </w:t>
      </w:r>
      <w:r w:rsidR="00011B72" w:rsidRPr="0063383C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6338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872162" w:rsidRPr="0063383C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6338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обеспечен рост доходной части местного бюджета за счёт повышения собираемости налогов и эффективного использования муниципального имущества.</w:t>
      </w:r>
    </w:p>
    <w:p w:rsidR="001D2A76" w:rsidRPr="0063383C" w:rsidRDefault="000B320E" w:rsidP="006A154F">
      <w:pPr>
        <w:pStyle w:val="a3"/>
        <w:suppressAutoHyphens/>
        <w:ind w:firstLine="708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>Фактическое поступление н</w:t>
      </w:r>
      <w:r w:rsidR="003D54A3" w:rsidRPr="0063383C">
        <w:rPr>
          <w:b w:val="0"/>
          <w:sz w:val="27"/>
          <w:szCs w:val="27"/>
        </w:rPr>
        <w:t>алоговы</w:t>
      </w:r>
      <w:r w:rsidRPr="0063383C">
        <w:rPr>
          <w:b w:val="0"/>
          <w:sz w:val="27"/>
          <w:szCs w:val="27"/>
        </w:rPr>
        <w:t>х и неналоговых доходов</w:t>
      </w:r>
      <w:r w:rsidR="00933A60" w:rsidRPr="0063383C">
        <w:rPr>
          <w:b w:val="0"/>
          <w:sz w:val="27"/>
          <w:szCs w:val="27"/>
        </w:rPr>
        <w:t xml:space="preserve"> </w:t>
      </w:r>
      <w:r w:rsidR="00D87346" w:rsidRPr="0063383C">
        <w:rPr>
          <w:b w:val="0"/>
          <w:sz w:val="27"/>
          <w:szCs w:val="27"/>
        </w:rPr>
        <w:t xml:space="preserve">в 2024 году </w:t>
      </w:r>
      <w:r w:rsidRPr="0063383C">
        <w:rPr>
          <w:b w:val="0"/>
          <w:sz w:val="27"/>
          <w:szCs w:val="27"/>
        </w:rPr>
        <w:t>превысило</w:t>
      </w:r>
      <w:r w:rsidR="00BF6706" w:rsidRPr="0063383C">
        <w:rPr>
          <w:b w:val="0"/>
          <w:sz w:val="27"/>
          <w:szCs w:val="27"/>
        </w:rPr>
        <w:t xml:space="preserve"> </w:t>
      </w:r>
      <w:r w:rsidRPr="0063383C">
        <w:rPr>
          <w:b w:val="0"/>
          <w:sz w:val="27"/>
          <w:szCs w:val="27"/>
        </w:rPr>
        <w:t>запланированные показатели Бюджетного прогноза</w:t>
      </w:r>
      <w:r w:rsidR="00DD692D" w:rsidRPr="0063383C">
        <w:rPr>
          <w:b w:val="0"/>
          <w:sz w:val="27"/>
          <w:szCs w:val="27"/>
        </w:rPr>
        <w:t xml:space="preserve"> </w:t>
      </w:r>
      <w:r w:rsidR="00C6798F" w:rsidRPr="0063383C">
        <w:rPr>
          <w:b w:val="0"/>
          <w:sz w:val="27"/>
          <w:szCs w:val="27"/>
        </w:rPr>
        <w:t>на сумму</w:t>
      </w:r>
      <w:r w:rsidR="00AB2C0D" w:rsidRPr="0063383C">
        <w:rPr>
          <w:b w:val="0"/>
          <w:sz w:val="27"/>
          <w:szCs w:val="27"/>
        </w:rPr>
        <w:t xml:space="preserve"> </w:t>
      </w:r>
      <w:r w:rsidR="004A4A5A">
        <w:rPr>
          <w:b w:val="0"/>
          <w:sz w:val="27"/>
          <w:szCs w:val="27"/>
        </w:rPr>
        <w:t xml:space="preserve">                                </w:t>
      </w:r>
      <w:r w:rsidR="00011B72" w:rsidRPr="0063383C">
        <w:rPr>
          <w:b w:val="0"/>
          <w:sz w:val="27"/>
          <w:szCs w:val="27"/>
        </w:rPr>
        <w:t>8 760,9 млн рублей</w:t>
      </w:r>
      <w:r w:rsidR="00D87346" w:rsidRPr="0063383C">
        <w:rPr>
          <w:b w:val="0"/>
          <w:sz w:val="27"/>
          <w:szCs w:val="27"/>
        </w:rPr>
        <w:t>.</w:t>
      </w:r>
      <w:r w:rsidR="00011B72" w:rsidRPr="0063383C">
        <w:rPr>
          <w:b w:val="0"/>
          <w:sz w:val="27"/>
          <w:szCs w:val="27"/>
        </w:rPr>
        <w:t xml:space="preserve"> </w:t>
      </w:r>
    </w:p>
    <w:p w:rsidR="002A5F6F" w:rsidRPr="0063383C" w:rsidRDefault="002A5F6F" w:rsidP="002A5F6F">
      <w:pPr>
        <w:pStyle w:val="a3"/>
        <w:suppressAutoHyphens/>
        <w:ind w:firstLine="708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 xml:space="preserve">Значительный </w:t>
      </w:r>
      <w:r w:rsidR="00D04077" w:rsidRPr="0063383C">
        <w:rPr>
          <w:b w:val="0"/>
          <w:sz w:val="27"/>
          <w:szCs w:val="27"/>
        </w:rPr>
        <w:t>рост поступлений по сравнению с</w:t>
      </w:r>
      <w:r w:rsidR="006838B7" w:rsidRPr="0063383C">
        <w:rPr>
          <w:b w:val="0"/>
          <w:sz w:val="27"/>
          <w:szCs w:val="27"/>
        </w:rPr>
        <w:t xml:space="preserve"> </w:t>
      </w:r>
      <w:r w:rsidR="00C43AE4" w:rsidRPr="0063383C">
        <w:rPr>
          <w:b w:val="0"/>
          <w:sz w:val="27"/>
          <w:szCs w:val="27"/>
        </w:rPr>
        <w:t xml:space="preserve">прогнозом сложился </w:t>
      </w:r>
      <w:r w:rsidRPr="0063383C">
        <w:rPr>
          <w:b w:val="0"/>
          <w:sz w:val="27"/>
          <w:szCs w:val="27"/>
        </w:rPr>
        <w:t>по следующим налоговым и неналоговым доходам:</w:t>
      </w:r>
    </w:p>
    <w:p w:rsidR="00C43AE4" w:rsidRPr="0063383C" w:rsidRDefault="00C43AE4" w:rsidP="00F124C1">
      <w:pPr>
        <w:pStyle w:val="a3"/>
        <w:suppressAutoHyphens/>
        <w:ind w:firstLine="709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 xml:space="preserve">– </w:t>
      </w:r>
      <w:r w:rsidR="00AE1E4D" w:rsidRPr="0063383C">
        <w:rPr>
          <w:b w:val="0"/>
          <w:sz w:val="27"/>
          <w:szCs w:val="27"/>
        </w:rPr>
        <w:t xml:space="preserve">по </w:t>
      </w:r>
      <w:r w:rsidRPr="0063383C">
        <w:rPr>
          <w:b w:val="0"/>
          <w:sz w:val="27"/>
          <w:szCs w:val="27"/>
        </w:rPr>
        <w:t>налог</w:t>
      </w:r>
      <w:r w:rsidR="005C5E38" w:rsidRPr="0063383C">
        <w:rPr>
          <w:b w:val="0"/>
          <w:sz w:val="27"/>
          <w:szCs w:val="27"/>
        </w:rPr>
        <w:t>у</w:t>
      </w:r>
      <w:r w:rsidRPr="0063383C">
        <w:rPr>
          <w:b w:val="0"/>
          <w:sz w:val="27"/>
          <w:szCs w:val="27"/>
        </w:rPr>
        <w:t xml:space="preserve"> на доходы</w:t>
      </w:r>
      <w:r w:rsidR="00A050C0" w:rsidRPr="0063383C">
        <w:rPr>
          <w:b w:val="0"/>
          <w:sz w:val="27"/>
          <w:szCs w:val="27"/>
        </w:rPr>
        <w:t xml:space="preserve"> физических лиц – на </w:t>
      </w:r>
      <w:r w:rsidR="005C5E38" w:rsidRPr="0063383C">
        <w:rPr>
          <w:b w:val="0"/>
          <w:sz w:val="27"/>
          <w:szCs w:val="27"/>
        </w:rPr>
        <w:t xml:space="preserve">сумму </w:t>
      </w:r>
      <w:r w:rsidR="00A46E04" w:rsidRPr="0063383C">
        <w:rPr>
          <w:b w:val="0"/>
          <w:sz w:val="27"/>
          <w:szCs w:val="27"/>
        </w:rPr>
        <w:t>3 747,6</w:t>
      </w:r>
      <w:r w:rsidR="00A050C0" w:rsidRPr="0063383C">
        <w:rPr>
          <w:b w:val="0"/>
          <w:sz w:val="27"/>
          <w:szCs w:val="27"/>
        </w:rPr>
        <w:t xml:space="preserve"> </w:t>
      </w:r>
      <w:r w:rsidRPr="0063383C">
        <w:rPr>
          <w:b w:val="0"/>
          <w:sz w:val="27"/>
          <w:szCs w:val="27"/>
        </w:rPr>
        <w:t>млн рублей</w:t>
      </w:r>
      <w:r w:rsidR="00C6798F" w:rsidRPr="0063383C">
        <w:rPr>
          <w:b w:val="0"/>
          <w:sz w:val="27"/>
          <w:szCs w:val="27"/>
        </w:rPr>
        <w:t xml:space="preserve"> </w:t>
      </w:r>
      <w:r w:rsidR="0047616D" w:rsidRPr="0063383C">
        <w:rPr>
          <w:b w:val="0"/>
          <w:sz w:val="27"/>
          <w:szCs w:val="27"/>
        </w:rPr>
        <w:t xml:space="preserve">             </w:t>
      </w:r>
      <w:r w:rsidR="00C6798F" w:rsidRPr="0063383C">
        <w:rPr>
          <w:b w:val="0"/>
          <w:sz w:val="27"/>
          <w:szCs w:val="27"/>
        </w:rPr>
        <w:t>в связи с ростом средней заработной платы</w:t>
      </w:r>
      <w:r w:rsidRPr="0063383C">
        <w:rPr>
          <w:b w:val="0"/>
          <w:sz w:val="27"/>
          <w:szCs w:val="27"/>
        </w:rPr>
        <w:t>;</w:t>
      </w:r>
    </w:p>
    <w:p w:rsidR="000B320E" w:rsidRPr="0063383C" w:rsidRDefault="000B320E" w:rsidP="000B320E">
      <w:pPr>
        <w:pStyle w:val="a3"/>
        <w:suppressAutoHyphens/>
        <w:ind w:firstLine="709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>– по налогу, взимаемому в связи с применением упрощённой системы налогообложения, – на сумму 1 860,7 млн рублей</w:t>
      </w:r>
      <w:r w:rsidR="009F6385">
        <w:rPr>
          <w:b w:val="0"/>
          <w:sz w:val="27"/>
          <w:szCs w:val="27"/>
        </w:rPr>
        <w:t xml:space="preserve"> в связи с увеличением налогооблагаемой базы</w:t>
      </w:r>
      <w:r w:rsidRPr="0063383C">
        <w:rPr>
          <w:b w:val="0"/>
          <w:sz w:val="27"/>
          <w:szCs w:val="27"/>
        </w:rPr>
        <w:t>;</w:t>
      </w:r>
    </w:p>
    <w:p w:rsidR="00980149" w:rsidRPr="0063383C" w:rsidRDefault="00980149" w:rsidP="00F124C1">
      <w:pPr>
        <w:pStyle w:val="a3"/>
        <w:suppressAutoHyphens/>
        <w:ind w:firstLine="709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 xml:space="preserve">– по доходам от оказания платных услуг и компенсации затрат государства – на </w:t>
      </w:r>
      <w:r w:rsidR="000B320E" w:rsidRPr="0063383C">
        <w:rPr>
          <w:b w:val="0"/>
          <w:sz w:val="27"/>
          <w:szCs w:val="27"/>
        </w:rPr>
        <w:t>сумму 829,6</w:t>
      </w:r>
      <w:r w:rsidRPr="0063383C">
        <w:rPr>
          <w:b w:val="0"/>
          <w:sz w:val="27"/>
          <w:szCs w:val="27"/>
        </w:rPr>
        <w:t xml:space="preserve"> млн рублей</w:t>
      </w:r>
      <w:r w:rsidR="009F6385">
        <w:rPr>
          <w:b w:val="0"/>
          <w:sz w:val="27"/>
          <w:szCs w:val="27"/>
        </w:rPr>
        <w:t xml:space="preserve"> за счёт роста поступлений от платы за компенсационное озеленение</w:t>
      </w:r>
      <w:r w:rsidRPr="0063383C">
        <w:rPr>
          <w:b w:val="0"/>
          <w:sz w:val="27"/>
          <w:szCs w:val="27"/>
        </w:rPr>
        <w:t>;</w:t>
      </w:r>
    </w:p>
    <w:p w:rsidR="000B320E" w:rsidRPr="0063383C" w:rsidRDefault="000B320E" w:rsidP="00F124C1">
      <w:pPr>
        <w:pStyle w:val="a3"/>
        <w:suppressAutoHyphens/>
        <w:ind w:firstLine="709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>– по земельному налогу – 536,5 млн рублей</w:t>
      </w:r>
      <w:r w:rsidR="009F6385" w:rsidRPr="009F6385">
        <w:rPr>
          <w:b w:val="0"/>
          <w:sz w:val="27"/>
          <w:szCs w:val="27"/>
        </w:rPr>
        <w:t xml:space="preserve"> </w:t>
      </w:r>
      <w:r w:rsidR="009F6385">
        <w:rPr>
          <w:b w:val="0"/>
          <w:sz w:val="27"/>
          <w:szCs w:val="27"/>
        </w:rPr>
        <w:t>в связи с увеличением налогооблагаемой базы</w:t>
      </w:r>
      <w:r w:rsidRPr="0063383C">
        <w:rPr>
          <w:b w:val="0"/>
          <w:sz w:val="27"/>
          <w:szCs w:val="27"/>
        </w:rPr>
        <w:t>;</w:t>
      </w:r>
    </w:p>
    <w:p w:rsidR="00980149" w:rsidRDefault="00980149" w:rsidP="00980149">
      <w:pPr>
        <w:pStyle w:val="a3"/>
        <w:suppressAutoHyphens/>
        <w:ind w:firstLine="709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 xml:space="preserve">– по налогу на имущество физических лиц – на сумму </w:t>
      </w:r>
      <w:r w:rsidR="000B320E" w:rsidRPr="0063383C">
        <w:rPr>
          <w:b w:val="0"/>
          <w:sz w:val="27"/>
          <w:szCs w:val="27"/>
        </w:rPr>
        <w:t>341,5</w:t>
      </w:r>
      <w:r w:rsidRPr="0063383C">
        <w:rPr>
          <w:b w:val="0"/>
          <w:sz w:val="27"/>
          <w:szCs w:val="27"/>
        </w:rPr>
        <w:t xml:space="preserve"> млн рублей</w:t>
      </w:r>
      <w:r w:rsidR="009F6385" w:rsidRPr="009F6385">
        <w:rPr>
          <w:b w:val="0"/>
          <w:sz w:val="27"/>
          <w:szCs w:val="27"/>
        </w:rPr>
        <w:t xml:space="preserve"> </w:t>
      </w:r>
      <w:r w:rsidR="009F6385">
        <w:rPr>
          <w:b w:val="0"/>
          <w:sz w:val="27"/>
          <w:szCs w:val="27"/>
        </w:rPr>
        <w:t>в связи с увеличением налогооблагаемой базы</w:t>
      </w:r>
      <w:r w:rsidRPr="0063383C">
        <w:rPr>
          <w:b w:val="0"/>
          <w:sz w:val="27"/>
          <w:szCs w:val="27"/>
        </w:rPr>
        <w:t>;</w:t>
      </w:r>
    </w:p>
    <w:p w:rsidR="00E16253" w:rsidRPr="0063383C" w:rsidRDefault="00E16253" w:rsidP="00980149">
      <w:pPr>
        <w:pStyle w:val="a3"/>
        <w:suppressAutoHyphens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– по государственной пошлине – на сумму 251,1 млн рублей</w:t>
      </w:r>
      <w:r w:rsidR="009F6385">
        <w:rPr>
          <w:b w:val="0"/>
          <w:sz w:val="27"/>
          <w:szCs w:val="27"/>
        </w:rPr>
        <w:t xml:space="preserve"> в связи с увеличением количества обращений в суды</w:t>
      </w:r>
      <w:r>
        <w:rPr>
          <w:b w:val="0"/>
          <w:sz w:val="27"/>
          <w:szCs w:val="27"/>
        </w:rPr>
        <w:t>;</w:t>
      </w:r>
    </w:p>
    <w:p w:rsidR="00980149" w:rsidRDefault="000B320E" w:rsidP="00F124C1">
      <w:pPr>
        <w:pStyle w:val="a3"/>
        <w:suppressAutoHyphens/>
        <w:ind w:firstLine="709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>– по доходам, получаемым в виде арендной платы, – на сумму 162,4</w:t>
      </w:r>
      <w:r w:rsidR="00980149" w:rsidRPr="0063383C">
        <w:rPr>
          <w:b w:val="0"/>
          <w:sz w:val="27"/>
          <w:szCs w:val="27"/>
        </w:rPr>
        <w:t xml:space="preserve"> млн рублей</w:t>
      </w:r>
      <w:r w:rsidR="009F6385">
        <w:rPr>
          <w:b w:val="0"/>
          <w:sz w:val="27"/>
          <w:szCs w:val="27"/>
        </w:rPr>
        <w:t xml:space="preserve"> в результате проведения торгов и погашения задолженности прошлых лет</w:t>
      </w:r>
      <w:r w:rsidR="00980149" w:rsidRPr="0063383C">
        <w:rPr>
          <w:b w:val="0"/>
          <w:sz w:val="27"/>
          <w:szCs w:val="27"/>
        </w:rPr>
        <w:t>;</w:t>
      </w:r>
    </w:p>
    <w:p w:rsidR="00DE559B" w:rsidRDefault="005672A0" w:rsidP="00F124C1">
      <w:pPr>
        <w:pStyle w:val="a3"/>
        <w:suppressAutoHyphens/>
        <w:ind w:firstLine="709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lastRenderedPageBreak/>
        <w:t>– по штрафам – на сумму 153,0 млн. рублей</w:t>
      </w:r>
      <w:r w:rsidR="00DE559B">
        <w:rPr>
          <w:b w:val="0"/>
          <w:sz w:val="27"/>
          <w:szCs w:val="27"/>
        </w:rPr>
        <w:t>;</w:t>
      </w:r>
      <w:r w:rsidR="004A4A5A">
        <w:rPr>
          <w:b w:val="0"/>
          <w:sz w:val="27"/>
          <w:szCs w:val="27"/>
        </w:rPr>
        <w:t xml:space="preserve"> </w:t>
      </w:r>
    </w:p>
    <w:p w:rsidR="005672A0" w:rsidRDefault="00DE559B" w:rsidP="00F124C1">
      <w:pPr>
        <w:pStyle w:val="a3"/>
        <w:suppressAutoHyphens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– </w:t>
      </w:r>
      <w:r w:rsidR="004A4A5A">
        <w:rPr>
          <w:b w:val="0"/>
          <w:sz w:val="27"/>
          <w:szCs w:val="27"/>
        </w:rPr>
        <w:t>по налогу на прибыль организаций на сумму 103,6 млн рублей в связи с улучшением финансовых резул</w:t>
      </w:r>
      <w:r w:rsidR="00E9535F">
        <w:rPr>
          <w:b w:val="0"/>
          <w:sz w:val="27"/>
          <w:szCs w:val="27"/>
        </w:rPr>
        <w:t>ьтатов деятельности предприятий.</w:t>
      </w:r>
    </w:p>
    <w:p w:rsidR="00515DC6" w:rsidRPr="0063383C" w:rsidRDefault="004A51DD" w:rsidP="00515DC6">
      <w:pPr>
        <w:pStyle w:val="a3"/>
        <w:suppressAutoHyphens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Безвозмездные</w:t>
      </w:r>
      <w:r w:rsidR="00D87346" w:rsidRPr="0063383C">
        <w:rPr>
          <w:b w:val="0"/>
          <w:sz w:val="27"/>
          <w:szCs w:val="27"/>
        </w:rPr>
        <w:t xml:space="preserve"> поступления</w:t>
      </w:r>
      <w:r w:rsidR="005003A6" w:rsidRPr="0063383C">
        <w:rPr>
          <w:b w:val="0"/>
          <w:sz w:val="27"/>
          <w:szCs w:val="27"/>
        </w:rPr>
        <w:t xml:space="preserve"> из бюджета </w:t>
      </w:r>
      <w:r w:rsidR="0055194C" w:rsidRPr="0063383C">
        <w:rPr>
          <w:b w:val="0"/>
          <w:sz w:val="27"/>
          <w:szCs w:val="27"/>
        </w:rPr>
        <w:t xml:space="preserve">Краснодарского края </w:t>
      </w:r>
      <w:r w:rsidR="00662D75">
        <w:rPr>
          <w:b w:val="0"/>
          <w:sz w:val="27"/>
          <w:szCs w:val="27"/>
        </w:rPr>
        <w:t xml:space="preserve">в </w:t>
      </w:r>
      <w:r w:rsidR="004A4A5A">
        <w:rPr>
          <w:b w:val="0"/>
          <w:sz w:val="27"/>
          <w:szCs w:val="27"/>
        </w:rPr>
        <w:t xml:space="preserve">                  </w:t>
      </w:r>
      <w:r w:rsidR="00662D75">
        <w:rPr>
          <w:b w:val="0"/>
          <w:sz w:val="27"/>
          <w:szCs w:val="27"/>
        </w:rPr>
        <w:t xml:space="preserve">2024 году </w:t>
      </w:r>
      <w:r>
        <w:rPr>
          <w:b w:val="0"/>
          <w:sz w:val="27"/>
          <w:szCs w:val="27"/>
        </w:rPr>
        <w:t xml:space="preserve">фактически превысили </w:t>
      </w:r>
      <w:r w:rsidR="0061775A" w:rsidRPr="0063383C">
        <w:rPr>
          <w:b w:val="0"/>
          <w:sz w:val="27"/>
          <w:szCs w:val="27"/>
        </w:rPr>
        <w:t xml:space="preserve"> </w:t>
      </w:r>
      <w:r w:rsidRPr="0063383C">
        <w:rPr>
          <w:b w:val="0"/>
          <w:sz w:val="27"/>
          <w:szCs w:val="27"/>
        </w:rPr>
        <w:t xml:space="preserve">показатели Бюджетного прогноза </w:t>
      </w:r>
      <w:r w:rsidR="00D87346" w:rsidRPr="0063383C">
        <w:rPr>
          <w:b w:val="0"/>
          <w:sz w:val="27"/>
          <w:szCs w:val="27"/>
        </w:rPr>
        <w:t xml:space="preserve">на сумму </w:t>
      </w:r>
      <w:r w:rsidR="00662D75">
        <w:rPr>
          <w:b w:val="0"/>
          <w:sz w:val="27"/>
          <w:szCs w:val="27"/>
        </w:rPr>
        <w:t xml:space="preserve">             </w:t>
      </w:r>
      <w:r w:rsidR="00D87346" w:rsidRPr="0063383C">
        <w:rPr>
          <w:b w:val="0"/>
          <w:sz w:val="27"/>
          <w:szCs w:val="27"/>
        </w:rPr>
        <w:t>17 005,5 млн рублей</w:t>
      </w:r>
      <w:r w:rsidR="0061775A" w:rsidRPr="0063383C">
        <w:rPr>
          <w:b w:val="0"/>
          <w:sz w:val="27"/>
          <w:szCs w:val="27"/>
        </w:rPr>
        <w:t xml:space="preserve"> в основном в связи с увеличением субсидий на </w:t>
      </w:r>
      <w:proofErr w:type="spellStart"/>
      <w:r w:rsidR="0061775A" w:rsidRPr="0063383C">
        <w:rPr>
          <w:b w:val="0"/>
          <w:sz w:val="27"/>
          <w:szCs w:val="27"/>
        </w:rPr>
        <w:t>софинансирование</w:t>
      </w:r>
      <w:proofErr w:type="spellEnd"/>
      <w:r w:rsidR="0061775A" w:rsidRPr="0063383C">
        <w:rPr>
          <w:b w:val="0"/>
          <w:sz w:val="27"/>
          <w:szCs w:val="27"/>
        </w:rPr>
        <w:t xml:space="preserve"> капитальных вложений в объекты муниципал</w:t>
      </w:r>
      <w:r w:rsidR="00662D75">
        <w:rPr>
          <w:b w:val="0"/>
          <w:sz w:val="27"/>
          <w:szCs w:val="27"/>
        </w:rPr>
        <w:t>ьной собственности на сумму 9 3</w:t>
      </w:r>
      <w:r w:rsidR="0061775A" w:rsidRPr="0063383C">
        <w:rPr>
          <w:b w:val="0"/>
          <w:sz w:val="27"/>
          <w:szCs w:val="27"/>
        </w:rPr>
        <w:t>03,6 млн рублей</w:t>
      </w:r>
      <w:r w:rsidR="006C7771" w:rsidRPr="0063383C">
        <w:rPr>
          <w:b w:val="0"/>
          <w:sz w:val="27"/>
          <w:szCs w:val="27"/>
        </w:rPr>
        <w:t xml:space="preserve">, </w:t>
      </w:r>
      <w:r w:rsidR="0061775A" w:rsidRPr="0063383C">
        <w:rPr>
          <w:b w:val="0"/>
          <w:sz w:val="27"/>
          <w:szCs w:val="27"/>
        </w:rPr>
        <w:t xml:space="preserve">субсидий на создание новых мест в общеобразовательных организациях в связи с ростом </w:t>
      </w:r>
      <w:r w:rsidR="00DC2250">
        <w:rPr>
          <w:b w:val="0"/>
          <w:sz w:val="27"/>
          <w:szCs w:val="27"/>
        </w:rPr>
        <w:t xml:space="preserve">числа </w:t>
      </w:r>
      <w:r w:rsidR="0061775A" w:rsidRPr="0063383C">
        <w:rPr>
          <w:b w:val="0"/>
          <w:sz w:val="27"/>
          <w:szCs w:val="27"/>
        </w:rPr>
        <w:t xml:space="preserve">обучающихся, вызванных демографическим фактором, – на сумму 1 246,9 млн рублей, субвенций на осуществление </w:t>
      </w:r>
      <w:r w:rsidR="00DC2250">
        <w:rPr>
          <w:b w:val="0"/>
          <w:sz w:val="27"/>
          <w:szCs w:val="27"/>
        </w:rPr>
        <w:t xml:space="preserve">отдельных государственных </w:t>
      </w:r>
      <w:r w:rsidR="0061775A" w:rsidRPr="0063383C">
        <w:rPr>
          <w:b w:val="0"/>
          <w:sz w:val="27"/>
          <w:szCs w:val="27"/>
        </w:rPr>
        <w:t xml:space="preserve">полномочий </w:t>
      </w:r>
      <w:r w:rsidR="00D06F09" w:rsidRPr="0063383C">
        <w:rPr>
          <w:b w:val="0"/>
          <w:sz w:val="27"/>
          <w:szCs w:val="27"/>
        </w:rPr>
        <w:t xml:space="preserve">Краснодарского края </w:t>
      </w:r>
      <w:r w:rsidR="0061775A" w:rsidRPr="0063383C">
        <w:rPr>
          <w:b w:val="0"/>
          <w:sz w:val="27"/>
          <w:szCs w:val="27"/>
        </w:rPr>
        <w:t xml:space="preserve">– на сумму 3 172,5 млн рублей.  </w:t>
      </w:r>
    </w:p>
    <w:p w:rsidR="008072DD" w:rsidRPr="0063383C" w:rsidRDefault="00D06F09" w:rsidP="004824C4">
      <w:pPr>
        <w:pStyle w:val="4"/>
        <w:spacing w:before="0" w:beforeAutospacing="0" w:after="0" w:afterAutospacing="0"/>
        <w:ind w:firstLine="709"/>
        <w:jc w:val="both"/>
        <w:rPr>
          <w:b w:val="0"/>
          <w:spacing w:val="-2"/>
          <w:sz w:val="27"/>
          <w:szCs w:val="27"/>
        </w:rPr>
      </w:pPr>
      <w:r w:rsidRPr="0063383C">
        <w:rPr>
          <w:b w:val="0"/>
          <w:sz w:val="27"/>
          <w:szCs w:val="27"/>
        </w:rPr>
        <w:t>Расходы местного бюджета в 2024</w:t>
      </w:r>
      <w:r w:rsidR="00DE67CF" w:rsidRPr="0063383C">
        <w:rPr>
          <w:b w:val="0"/>
          <w:sz w:val="27"/>
          <w:szCs w:val="27"/>
        </w:rPr>
        <w:t xml:space="preserve"> году исполнены в сум</w:t>
      </w:r>
      <w:r w:rsidRPr="0063383C">
        <w:rPr>
          <w:b w:val="0"/>
          <w:sz w:val="27"/>
          <w:szCs w:val="27"/>
        </w:rPr>
        <w:t xml:space="preserve">ме 92 455,9 млн рублей или на 20 976,6 млн рублей больше, чем предусмотрено в Бюджетном      </w:t>
      </w:r>
      <w:r w:rsidR="006838B7" w:rsidRPr="0063383C">
        <w:rPr>
          <w:b w:val="0"/>
          <w:sz w:val="27"/>
          <w:szCs w:val="27"/>
        </w:rPr>
        <w:t xml:space="preserve"> </w:t>
      </w:r>
      <w:r w:rsidRPr="0063383C">
        <w:rPr>
          <w:b w:val="0"/>
          <w:sz w:val="27"/>
          <w:szCs w:val="27"/>
        </w:rPr>
        <w:t>прогноз</w:t>
      </w:r>
      <w:r w:rsidR="00662D75">
        <w:rPr>
          <w:b w:val="0"/>
          <w:sz w:val="27"/>
          <w:szCs w:val="27"/>
        </w:rPr>
        <w:t>е</w:t>
      </w:r>
      <w:r w:rsidRPr="0063383C">
        <w:rPr>
          <w:b w:val="0"/>
          <w:sz w:val="27"/>
          <w:szCs w:val="27"/>
        </w:rPr>
        <w:t xml:space="preserve">. </w:t>
      </w:r>
      <w:r w:rsidR="005D0D68" w:rsidRPr="0063383C">
        <w:rPr>
          <w:b w:val="0"/>
          <w:sz w:val="27"/>
          <w:szCs w:val="27"/>
        </w:rPr>
        <w:t xml:space="preserve"> </w:t>
      </w:r>
    </w:p>
    <w:p w:rsidR="0093359F" w:rsidRPr="0063383C" w:rsidRDefault="0023124C" w:rsidP="004D41C1">
      <w:pPr>
        <w:pStyle w:val="a3"/>
        <w:suppressAutoHyphens/>
        <w:ind w:firstLine="708"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>П</w:t>
      </w:r>
      <w:r w:rsidR="00D06F09" w:rsidRPr="0063383C">
        <w:rPr>
          <w:b w:val="0"/>
          <w:sz w:val="27"/>
          <w:szCs w:val="27"/>
        </w:rPr>
        <w:t xml:space="preserve">о итогам 2024 </w:t>
      </w:r>
      <w:r w:rsidRPr="0063383C">
        <w:rPr>
          <w:b w:val="0"/>
          <w:sz w:val="27"/>
          <w:szCs w:val="27"/>
        </w:rPr>
        <w:t xml:space="preserve">года </w:t>
      </w:r>
      <w:r w:rsidR="005D0D68" w:rsidRPr="0063383C">
        <w:rPr>
          <w:b w:val="0"/>
          <w:sz w:val="27"/>
          <w:szCs w:val="27"/>
        </w:rPr>
        <w:t xml:space="preserve">местный бюджет исполнен с </w:t>
      </w:r>
      <w:r w:rsidR="002D3808">
        <w:rPr>
          <w:b w:val="0"/>
          <w:sz w:val="27"/>
          <w:szCs w:val="27"/>
        </w:rPr>
        <w:t xml:space="preserve">превышением доходов над расходами местного бюджета </w:t>
      </w:r>
      <w:r w:rsidR="004A51DD">
        <w:rPr>
          <w:b w:val="0"/>
          <w:sz w:val="27"/>
          <w:szCs w:val="27"/>
        </w:rPr>
        <w:t>(</w:t>
      </w:r>
      <w:r w:rsidRPr="0063383C">
        <w:rPr>
          <w:b w:val="0"/>
          <w:sz w:val="27"/>
          <w:szCs w:val="27"/>
        </w:rPr>
        <w:t>профицит</w:t>
      </w:r>
      <w:r w:rsidR="005D0D68" w:rsidRPr="0063383C">
        <w:rPr>
          <w:b w:val="0"/>
          <w:sz w:val="27"/>
          <w:szCs w:val="27"/>
        </w:rPr>
        <w:t>ом</w:t>
      </w:r>
      <w:r w:rsidR="004A51DD">
        <w:rPr>
          <w:b w:val="0"/>
          <w:sz w:val="27"/>
          <w:szCs w:val="27"/>
        </w:rPr>
        <w:t>)</w:t>
      </w:r>
      <w:r w:rsidRPr="0063383C">
        <w:rPr>
          <w:b w:val="0"/>
          <w:sz w:val="27"/>
          <w:szCs w:val="27"/>
        </w:rPr>
        <w:t xml:space="preserve"> </w:t>
      </w:r>
      <w:r w:rsidR="00D06F09" w:rsidRPr="0063383C">
        <w:rPr>
          <w:b w:val="0"/>
          <w:sz w:val="27"/>
          <w:szCs w:val="27"/>
        </w:rPr>
        <w:t>в сумме 1 889,8</w:t>
      </w:r>
      <w:r w:rsidR="002604D0" w:rsidRPr="0063383C">
        <w:rPr>
          <w:b w:val="0"/>
          <w:sz w:val="27"/>
          <w:szCs w:val="27"/>
        </w:rPr>
        <w:t xml:space="preserve"> млн</w:t>
      </w:r>
      <w:r w:rsidR="00281CD4">
        <w:rPr>
          <w:b w:val="0"/>
          <w:sz w:val="27"/>
          <w:szCs w:val="27"/>
        </w:rPr>
        <w:t xml:space="preserve"> рублей при запланированном</w:t>
      </w:r>
      <w:r w:rsidR="00D06F09" w:rsidRPr="0063383C">
        <w:rPr>
          <w:b w:val="0"/>
          <w:sz w:val="27"/>
          <w:szCs w:val="27"/>
        </w:rPr>
        <w:t xml:space="preserve"> дефиците</w:t>
      </w:r>
      <w:r w:rsidR="009C05EB" w:rsidRPr="0063383C">
        <w:rPr>
          <w:b w:val="0"/>
          <w:sz w:val="27"/>
          <w:szCs w:val="27"/>
        </w:rPr>
        <w:t xml:space="preserve"> местного бюджета </w:t>
      </w:r>
      <w:r w:rsidR="00D06F09" w:rsidRPr="0063383C">
        <w:rPr>
          <w:b w:val="0"/>
          <w:sz w:val="27"/>
          <w:szCs w:val="27"/>
        </w:rPr>
        <w:t>в сумме 2 900,0</w:t>
      </w:r>
      <w:r w:rsidR="00BB10D7" w:rsidRPr="0063383C">
        <w:rPr>
          <w:b w:val="0"/>
          <w:sz w:val="27"/>
          <w:szCs w:val="27"/>
        </w:rPr>
        <w:t xml:space="preserve"> </w:t>
      </w:r>
      <w:r w:rsidR="0077484B" w:rsidRPr="0063383C">
        <w:rPr>
          <w:b w:val="0"/>
          <w:sz w:val="27"/>
          <w:szCs w:val="27"/>
        </w:rPr>
        <w:t xml:space="preserve">млн </w:t>
      </w:r>
      <w:r w:rsidRPr="0063383C">
        <w:rPr>
          <w:b w:val="0"/>
          <w:sz w:val="27"/>
          <w:szCs w:val="27"/>
        </w:rPr>
        <w:t>рублей.</w:t>
      </w:r>
      <w:r w:rsidR="00D06F09" w:rsidRPr="0063383C">
        <w:rPr>
          <w:b w:val="0"/>
          <w:sz w:val="27"/>
          <w:szCs w:val="27"/>
        </w:rPr>
        <w:t xml:space="preserve"> </w:t>
      </w:r>
      <w:r w:rsidR="002D3808">
        <w:rPr>
          <w:b w:val="0"/>
          <w:sz w:val="27"/>
          <w:szCs w:val="27"/>
        </w:rPr>
        <w:t>П</w:t>
      </w:r>
      <w:r w:rsidR="004A4A5A">
        <w:rPr>
          <w:b w:val="0"/>
          <w:sz w:val="27"/>
          <w:szCs w:val="27"/>
        </w:rPr>
        <w:t>рофицит</w:t>
      </w:r>
      <w:r w:rsidR="004A51DD">
        <w:rPr>
          <w:b w:val="0"/>
          <w:sz w:val="27"/>
          <w:szCs w:val="27"/>
        </w:rPr>
        <w:t xml:space="preserve"> местного бюджета</w:t>
      </w:r>
      <w:r w:rsidR="002D3808">
        <w:rPr>
          <w:b w:val="0"/>
          <w:sz w:val="27"/>
          <w:szCs w:val="27"/>
        </w:rPr>
        <w:t xml:space="preserve"> </w:t>
      </w:r>
      <w:r w:rsidR="00D06F09" w:rsidRPr="0063383C">
        <w:rPr>
          <w:b w:val="0"/>
          <w:sz w:val="27"/>
          <w:szCs w:val="27"/>
        </w:rPr>
        <w:t>сложился благодаря полученным</w:t>
      </w:r>
      <w:r w:rsidR="00CD3889" w:rsidRPr="0063383C">
        <w:rPr>
          <w:b w:val="0"/>
          <w:sz w:val="27"/>
          <w:szCs w:val="27"/>
        </w:rPr>
        <w:t xml:space="preserve"> свер</w:t>
      </w:r>
      <w:r w:rsidR="00585932" w:rsidRPr="0063383C">
        <w:rPr>
          <w:b w:val="0"/>
          <w:sz w:val="27"/>
          <w:szCs w:val="27"/>
        </w:rPr>
        <w:t xml:space="preserve">х утверждённого объёма </w:t>
      </w:r>
      <w:r w:rsidR="00D06F09" w:rsidRPr="0063383C">
        <w:rPr>
          <w:b w:val="0"/>
          <w:sz w:val="27"/>
          <w:szCs w:val="27"/>
        </w:rPr>
        <w:t>доходам</w:t>
      </w:r>
      <w:r w:rsidR="00662D75">
        <w:rPr>
          <w:b w:val="0"/>
          <w:sz w:val="27"/>
          <w:szCs w:val="27"/>
        </w:rPr>
        <w:t xml:space="preserve"> местного бюджета</w:t>
      </w:r>
      <w:r w:rsidR="00CD3889" w:rsidRPr="0063383C">
        <w:rPr>
          <w:b w:val="0"/>
          <w:sz w:val="27"/>
          <w:szCs w:val="27"/>
        </w:rPr>
        <w:t xml:space="preserve">, а также </w:t>
      </w:r>
      <w:r w:rsidR="00D06F09" w:rsidRPr="0063383C">
        <w:rPr>
          <w:b w:val="0"/>
          <w:sz w:val="27"/>
          <w:szCs w:val="27"/>
        </w:rPr>
        <w:t>в связи с образованием остатков сре</w:t>
      </w:r>
      <w:r w:rsidR="00585932" w:rsidRPr="0063383C">
        <w:rPr>
          <w:b w:val="0"/>
          <w:sz w:val="27"/>
          <w:szCs w:val="27"/>
        </w:rPr>
        <w:t xml:space="preserve">дств </w:t>
      </w:r>
      <w:r w:rsidR="004A51DD">
        <w:rPr>
          <w:b w:val="0"/>
          <w:sz w:val="27"/>
          <w:szCs w:val="27"/>
        </w:rPr>
        <w:t xml:space="preserve">на счёте </w:t>
      </w:r>
      <w:r w:rsidR="00585932" w:rsidRPr="0063383C">
        <w:rPr>
          <w:b w:val="0"/>
          <w:sz w:val="27"/>
          <w:szCs w:val="27"/>
        </w:rPr>
        <w:t>местного бюджета из-за неполного</w:t>
      </w:r>
      <w:r w:rsidR="00D06F09" w:rsidRPr="0063383C">
        <w:rPr>
          <w:b w:val="0"/>
          <w:sz w:val="27"/>
          <w:szCs w:val="27"/>
        </w:rPr>
        <w:t xml:space="preserve"> </w:t>
      </w:r>
      <w:r w:rsidR="00281CD4">
        <w:rPr>
          <w:b w:val="0"/>
          <w:sz w:val="27"/>
          <w:szCs w:val="27"/>
        </w:rPr>
        <w:t>освоения утверждённых</w:t>
      </w:r>
      <w:bookmarkStart w:id="0" w:name="_GoBack"/>
      <w:bookmarkEnd w:id="0"/>
      <w:r w:rsidR="00D06F09" w:rsidRPr="0063383C">
        <w:rPr>
          <w:b w:val="0"/>
          <w:sz w:val="27"/>
          <w:szCs w:val="27"/>
        </w:rPr>
        <w:t xml:space="preserve"> </w:t>
      </w:r>
      <w:r w:rsidR="00281CD4">
        <w:rPr>
          <w:b w:val="0"/>
          <w:sz w:val="27"/>
          <w:szCs w:val="27"/>
        </w:rPr>
        <w:t xml:space="preserve">на </w:t>
      </w:r>
      <w:r w:rsidR="00DC2250">
        <w:rPr>
          <w:b w:val="0"/>
          <w:sz w:val="27"/>
          <w:szCs w:val="27"/>
        </w:rPr>
        <w:t xml:space="preserve">2024 год </w:t>
      </w:r>
      <w:r w:rsidR="00662D75">
        <w:rPr>
          <w:b w:val="0"/>
          <w:sz w:val="27"/>
          <w:szCs w:val="27"/>
        </w:rPr>
        <w:t>бюджетных ассигнований</w:t>
      </w:r>
      <w:r w:rsidR="00CD3889" w:rsidRPr="0063383C">
        <w:rPr>
          <w:b w:val="0"/>
          <w:sz w:val="27"/>
          <w:szCs w:val="27"/>
        </w:rPr>
        <w:t>.</w:t>
      </w:r>
      <w:r w:rsidR="00AF2A24" w:rsidRPr="0063383C">
        <w:rPr>
          <w:b w:val="0"/>
          <w:sz w:val="27"/>
          <w:szCs w:val="27"/>
        </w:rPr>
        <w:t xml:space="preserve"> </w:t>
      </w:r>
    </w:p>
    <w:p w:rsidR="00B112CE" w:rsidRPr="0063383C" w:rsidRDefault="00F061CE" w:rsidP="004E1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7"/>
          <w:szCs w:val="27"/>
        </w:rPr>
      </w:pPr>
      <w:r w:rsidRPr="0063383C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4D019E" w:rsidRPr="0063383C">
        <w:rPr>
          <w:rFonts w:ascii="Times New Roman" w:hAnsi="Times New Roman" w:cs="Times New Roman"/>
          <w:color w:val="000000"/>
          <w:sz w:val="27"/>
          <w:szCs w:val="27"/>
        </w:rPr>
        <w:t xml:space="preserve">бъём </w:t>
      </w:r>
      <w:r w:rsidR="004D019E" w:rsidRPr="0063383C">
        <w:rPr>
          <w:rFonts w:ascii="Times New Roman" w:hAnsi="Times New Roman" w:cs="Times New Roman"/>
          <w:sz w:val="27"/>
          <w:szCs w:val="27"/>
        </w:rPr>
        <w:t xml:space="preserve">муниципального долга муниципального образования город Краснодар </w:t>
      </w:r>
      <w:r w:rsidR="00585932" w:rsidRPr="0063383C">
        <w:rPr>
          <w:rFonts w:ascii="Times New Roman" w:hAnsi="Times New Roman" w:cs="Times New Roman"/>
          <w:color w:val="000000"/>
          <w:sz w:val="27"/>
          <w:szCs w:val="27"/>
        </w:rPr>
        <w:t>по состоянию на 01.01.2025</w:t>
      </w:r>
      <w:r w:rsidRPr="006338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85932" w:rsidRPr="0063383C">
        <w:rPr>
          <w:rFonts w:ascii="Times New Roman" w:hAnsi="Times New Roman" w:cs="Times New Roman"/>
          <w:sz w:val="27"/>
          <w:szCs w:val="27"/>
        </w:rPr>
        <w:t>составил 2 815,0</w:t>
      </w:r>
      <w:r w:rsidR="004D019E" w:rsidRPr="0063383C">
        <w:rPr>
          <w:rFonts w:ascii="Times New Roman" w:hAnsi="Times New Roman" w:cs="Times New Roman"/>
          <w:sz w:val="27"/>
          <w:szCs w:val="27"/>
        </w:rPr>
        <w:t xml:space="preserve"> млн рублей</w:t>
      </w:r>
      <w:r w:rsidR="00585932" w:rsidRPr="0063383C">
        <w:rPr>
          <w:rFonts w:ascii="Times New Roman" w:hAnsi="Times New Roman" w:cs="Times New Roman"/>
          <w:sz w:val="27"/>
          <w:szCs w:val="27"/>
        </w:rPr>
        <w:t xml:space="preserve"> или на </w:t>
      </w:r>
      <w:r w:rsidR="0039491F" w:rsidRPr="0063383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85932" w:rsidRPr="0063383C">
        <w:rPr>
          <w:rFonts w:ascii="Times New Roman" w:hAnsi="Times New Roman" w:cs="Times New Roman"/>
          <w:sz w:val="27"/>
          <w:szCs w:val="27"/>
        </w:rPr>
        <w:t xml:space="preserve">4 468,3 </w:t>
      </w:r>
      <w:r w:rsidR="00A41B13" w:rsidRPr="0063383C">
        <w:rPr>
          <w:rFonts w:ascii="Times New Roman" w:hAnsi="Times New Roman" w:cs="Times New Roman"/>
          <w:sz w:val="27"/>
          <w:szCs w:val="27"/>
        </w:rPr>
        <w:t xml:space="preserve">млн рублей </w:t>
      </w:r>
      <w:r w:rsidR="00585932" w:rsidRPr="0063383C">
        <w:rPr>
          <w:rFonts w:ascii="Times New Roman" w:hAnsi="Times New Roman" w:cs="Times New Roman"/>
          <w:sz w:val="27"/>
          <w:szCs w:val="27"/>
        </w:rPr>
        <w:t xml:space="preserve">ниже запланированного </w:t>
      </w:r>
      <w:r w:rsidR="00A41B13" w:rsidRPr="0063383C">
        <w:rPr>
          <w:rFonts w:ascii="Times New Roman" w:hAnsi="Times New Roman" w:cs="Times New Roman"/>
          <w:sz w:val="27"/>
          <w:szCs w:val="27"/>
        </w:rPr>
        <w:t>в</w:t>
      </w:r>
      <w:r w:rsidR="004E1225" w:rsidRPr="0063383C">
        <w:rPr>
          <w:rFonts w:ascii="Times New Roman" w:hAnsi="Times New Roman" w:cs="Times New Roman"/>
          <w:sz w:val="27"/>
          <w:szCs w:val="27"/>
        </w:rPr>
        <w:t xml:space="preserve"> </w:t>
      </w:r>
      <w:r w:rsidR="00A41B13" w:rsidRPr="0063383C">
        <w:rPr>
          <w:rFonts w:ascii="Times New Roman" w:hAnsi="Times New Roman" w:cs="Times New Roman"/>
          <w:sz w:val="27"/>
          <w:szCs w:val="27"/>
        </w:rPr>
        <w:t>Бюджетном</w:t>
      </w:r>
      <w:r w:rsidR="004E1225" w:rsidRPr="0063383C">
        <w:rPr>
          <w:rFonts w:ascii="Times New Roman" w:hAnsi="Times New Roman" w:cs="Times New Roman"/>
          <w:sz w:val="27"/>
          <w:szCs w:val="27"/>
        </w:rPr>
        <w:t xml:space="preserve"> </w:t>
      </w:r>
      <w:r w:rsidR="00A41B13" w:rsidRPr="0063383C">
        <w:rPr>
          <w:rFonts w:ascii="Times New Roman" w:hAnsi="Times New Roman" w:cs="Times New Roman"/>
          <w:sz w:val="27"/>
          <w:szCs w:val="27"/>
        </w:rPr>
        <w:t>прогнозе</w:t>
      </w:r>
      <w:r w:rsidR="006C7771" w:rsidRPr="0063383C">
        <w:rPr>
          <w:rFonts w:ascii="Times New Roman" w:hAnsi="Times New Roman" w:cs="Times New Roman"/>
          <w:sz w:val="27"/>
          <w:szCs w:val="27"/>
        </w:rPr>
        <w:t xml:space="preserve"> в</w:t>
      </w:r>
      <w:r w:rsidR="00D55EEC" w:rsidRPr="0063383C">
        <w:rPr>
          <w:rFonts w:ascii="Times New Roman" w:hAnsi="Times New Roman" w:cs="Times New Roman"/>
          <w:sz w:val="27"/>
          <w:szCs w:val="27"/>
        </w:rPr>
        <w:t xml:space="preserve"> связи с </w:t>
      </w:r>
      <w:r w:rsidR="00495249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spellStart"/>
      <w:r w:rsidR="00662D75">
        <w:rPr>
          <w:rFonts w:ascii="Times New Roman" w:hAnsi="Times New Roman" w:cs="Times New Roman"/>
          <w:sz w:val="27"/>
          <w:szCs w:val="27"/>
        </w:rPr>
        <w:t>непривлечением</w:t>
      </w:r>
      <w:proofErr w:type="spellEnd"/>
      <w:r w:rsidR="00662D75" w:rsidRPr="00662D75">
        <w:rPr>
          <w:rFonts w:ascii="Times New Roman" w:hAnsi="Times New Roman" w:cs="Times New Roman"/>
          <w:sz w:val="27"/>
          <w:szCs w:val="27"/>
        </w:rPr>
        <w:t xml:space="preserve"> </w:t>
      </w:r>
      <w:r w:rsidR="00662D75" w:rsidRPr="0063383C">
        <w:rPr>
          <w:rFonts w:ascii="Times New Roman" w:hAnsi="Times New Roman" w:cs="Times New Roman"/>
          <w:sz w:val="27"/>
          <w:szCs w:val="27"/>
        </w:rPr>
        <w:t>кредитов от кредитных организаций в сумме 4 468,3 млн рублей</w:t>
      </w:r>
      <w:r w:rsidR="00662D75">
        <w:rPr>
          <w:rFonts w:ascii="Times New Roman" w:hAnsi="Times New Roman" w:cs="Times New Roman"/>
          <w:sz w:val="27"/>
          <w:szCs w:val="27"/>
        </w:rPr>
        <w:t xml:space="preserve"> из-за отсутствия потребности</w:t>
      </w:r>
      <w:r w:rsidR="00DC2250">
        <w:rPr>
          <w:rFonts w:ascii="Times New Roman" w:hAnsi="Times New Roman" w:cs="Times New Roman"/>
          <w:sz w:val="27"/>
          <w:szCs w:val="27"/>
        </w:rPr>
        <w:t xml:space="preserve"> в заимствованиях</w:t>
      </w:r>
      <w:r w:rsidR="00662D7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E1225" w:rsidRPr="0063383C" w:rsidRDefault="004E1225" w:rsidP="00735F9E">
      <w:pPr>
        <w:pStyle w:val="a3"/>
        <w:suppressAutoHyphens/>
        <w:jc w:val="both"/>
        <w:rPr>
          <w:b w:val="0"/>
          <w:sz w:val="27"/>
          <w:szCs w:val="27"/>
        </w:rPr>
      </w:pPr>
    </w:p>
    <w:p w:rsidR="006C7771" w:rsidRPr="0063383C" w:rsidRDefault="006C7771" w:rsidP="00735F9E">
      <w:pPr>
        <w:pStyle w:val="a3"/>
        <w:suppressAutoHyphens/>
        <w:jc w:val="both"/>
        <w:rPr>
          <w:b w:val="0"/>
          <w:sz w:val="27"/>
          <w:szCs w:val="27"/>
        </w:rPr>
      </w:pPr>
    </w:p>
    <w:p w:rsidR="006B3312" w:rsidRPr="0063383C" w:rsidRDefault="004A2417" w:rsidP="006B3312">
      <w:pPr>
        <w:pStyle w:val="a3"/>
        <w:suppressAutoHyphens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>Д</w:t>
      </w:r>
      <w:r w:rsidR="006B3312" w:rsidRPr="0063383C">
        <w:rPr>
          <w:b w:val="0"/>
          <w:sz w:val="27"/>
          <w:szCs w:val="27"/>
        </w:rPr>
        <w:t xml:space="preserve">иректор департамента финансов </w:t>
      </w:r>
    </w:p>
    <w:p w:rsidR="006B3312" w:rsidRPr="0063383C" w:rsidRDefault="006B3312" w:rsidP="006B3312">
      <w:pPr>
        <w:pStyle w:val="a3"/>
        <w:suppressAutoHyphens/>
        <w:jc w:val="both"/>
        <w:rPr>
          <w:b w:val="0"/>
          <w:sz w:val="27"/>
          <w:szCs w:val="27"/>
        </w:rPr>
      </w:pPr>
      <w:r w:rsidRPr="0063383C">
        <w:rPr>
          <w:b w:val="0"/>
          <w:sz w:val="27"/>
          <w:szCs w:val="27"/>
        </w:rPr>
        <w:t>администрации муниципального</w:t>
      </w:r>
    </w:p>
    <w:p w:rsidR="006B3312" w:rsidRPr="003D54A3" w:rsidRDefault="006B3312" w:rsidP="006B3312">
      <w:pPr>
        <w:pStyle w:val="a3"/>
        <w:suppressAutoHyphens/>
        <w:jc w:val="both"/>
        <w:rPr>
          <w:b w:val="0"/>
          <w:szCs w:val="28"/>
        </w:rPr>
      </w:pPr>
      <w:r w:rsidRPr="0063383C">
        <w:rPr>
          <w:b w:val="0"/>
          <w:sz w:val="27"/>
          <w:szCs w:val="27"/>
        </w:rPr>
        <w:t>образования город Краснодар</w:t>
      </w:r>
      <w:r w:rsidRPr="0063383C">
        <w:rPr>
          <w:b w:val="0"/>
          <w:sz w:val="27"/>
          <w:szCs w:val="27"/>
        </w:rPr>
        <w:tab/>
      </w:r>
      <w:r w:rsidRPr="0063383C">
        <w:rPr>
          <w:b w:val="0"/>
          <w:sz w:val="27"/>
          <w:szCs w:val="27"/>
        </w:rPr>
        <w:tab/>
      </w:r>
      <w:r w:rsidRPr="0063383C">
        <w:rPr>
          <w:b w:val="0"/>
          <w:sz w:val="27"/>
          <w:szCs w:val="27"/>
        </w:rPr>
        <w:tab/>
      </w:r>
      <w:r w:rsidRPr="0063383C">
        <w:rPr>
          <w:b w:val="0"/>
          <w:sz w:val="27"/>
          <w:szCs w:val="27"/>
        </w:rPr>
        <w:tab/>
      </w:r>
      <w:r w:rsidRPr="0063383C">
        <w:rPr>
          <w:b w:val="0"/>
          <w:sz w:val="27"/>
          <w:szCs w:val="27"/>
        </w:rPr>
        <w:tab/>
      </w:r>
      <w:r w:rsidR="004A2417" w:rsidRPr="0063383C">
        <w:rPr>
          <w:b w:val="0"/>
          <w:sz w:val="27"/>
          <w:szCs w:val="27"/>
        </w:rPr>
        <w:t xml:space="preserve">           </w:t>
      </w:r>
      <w:r w:rsidR="00495249">
        <w:rPr>
          <w:b w:val="0"/>
          <w:sz w:val="27"/>
          <w:szCs w:val="27"/>
        </w:rPr>
        <w:t xml:space="preserve">            </w:t>
      </w:r>
      <w:r w:rsidR="004A2417" w:rsidRPr="0063383C">
        <w:rPr>
          <w:b w:val="0"/>
          <w:sz w:val="27"/>
          <w:szCs w:val="27"/>
        </w:rPr>
        <w:t xml:space="preserve"> </w:t>
      </w:r>
      <w:proofErr w:type="spellStart"/>
      <w:r w:rsidR="004A2417" w:rsidRPr="0063383C">
        <w:rPr>
          <w:b w:val="0"/>
          <w:sz w:val="27"/>
          <w:szCs w:val="27"/>
        </w:rPr>
        <w:t>А.С.Чулков</w:t>
      </w:r>
      <w:proofErr w:type="spellEnd"/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3D54A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AF2A24" w:rsidRDefault="00AF2A24" w:rsidP="006B3312">
      <w:pPr>
        <w:pStyle w:val="a3"/>
        <w:suppressAutoHyphens/>
        <w:jc w:val="both"/>
        <w:rPr>
          <w:b w:val="0"/>
          <w:szCs w:val="28"/>
        </w:rPr>
      </w:pPr>
    </w:p>
    <w:p w:rsidR="004534E5" w:rsidRDefault="004534E5" w:rsidP="006B3312">
      <w:pPr>
        <w:pStyle w:val="a3"/>
        <w:suppressAutoHyphens/>
        <w:jc w:val="both"/>
        <w:rPr>
          <w:b w:val="0"/>
          <w:szCs w:val="28"/>
        </w:rPr>
      </w:pPr>
    </w:p>
    <w:p w:rsidR="004534E5" w:rsidRDefault="004534E5" w:rsidP="006B3312">
      <w:pPr>
        <w:pStyle w:val="a3"/>
        <w:suppressAutoHyphens/>
        <w:jc w:val="both"/>
        <w:rPr>
          <w:b w:val="0"/>
          <w:szCs w:val="28"/>
        </w:rPr>
      </w:pPr>
    </w:p>
    <w:p w:rsidR="00BF3302" w:rsidRPr="003D54A3" w:rsidRDefault="00BF3302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BF3302" w:rsidRDefault="00C71255" w:rsidP="006B3312">
      <w:pPr>
        <w:pStyle w:val="a3"/>
        <w:suppressAutoHyphens/>
        <w:jc w:val="both"/>
        <w:rPr>
          <w:b w:val="0"/>
          <w:sz w:val="27"/>
          <w:szCs w:val="27"/>
        </w:rPr>
      </w:pPr>
      <w:proofErr w:type="spellStart"/>
      <w:r w:rsidRPr="00BF3302">
        <w:rPr>
          <w:b w:val="0"/>
          <w:sz w:val="27"/>
          <w:szCs w:val="27"/>
        </w:rPr>
        <w:t>М.В.Линник</w:t>
      </w:r>
      <w:proofErr w:type="spellEnd"/>
    </w:p>
    <w:p w:rsidR="00C71255" w:rsidRPr="00BF3302" w:rsidRDefault="00C71255" w:rsidP="006B3312">
      <w:pPr>
        <w:pStyle w:val="a3"/>
        <w:suppressAutoHyphens/>
        <w:jc w:val="both"/>
        <w:rPr>
          <w:b w:val="0"/>
          <w:sz w:val="27"/>
          <w:szCs w:val="27"/>
        </w:rPr>
      </w:pPr>
      <w:r w:rsidRPr="00BF3302">
        <w:rPr>
          <w:b w:val="0"/>
          <w:sz w:val="27"/>
          <w:szCs w:val="27"/>
        </w:rPr>
        <w:t>2556985</w:t>
      </w:r>
    </w:p>
    <w:sectPr w:rsidR="00C71255" w:rsidRPr="00BF3302" w:rsidSect="00A16ECB">
      <w:headerReference w:type="default" r:id="rId6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F2" w:rsidRDefault="00B24BF2" w:rsidP="00A91F58">
      <w:pPr>
        <w:spacing w:after="0" w:line="240" w:lineRule="auto"/>
      </w:pPr>
      <w:r>
        <w:separator/>
      </w:r>
    </w:p>
  </w:endnote>
  <w:endnote w:type="continuationSeparator" w:id="0">
    <w:p w:rsidR="00B24BF2" w:rsidRDefault="00B24BF2" w:rsidP="00A9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F2" w:rsidRDefault="00B24BF2" w:rsidP="00A91F58">
      <w:pPr>
        <w:spacing w:after="0" w:line="240" w:lineRule="auto"/>
      </w:pPr>
      <w:r>
        <w:separator/>
      </w:r>
    </w:p>
  </w:footnote>
  <w:footnote w:type="continuationSeparator" w:id="0">
    <w:p w:rsidR="00B24BF2" w:rsidRDefault="00B24BF2" w:rsidP="00A9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72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1F58" w:rsidRPr="00A91F58" w:rsidRDefault="00A91F5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1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1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1C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1F58" w:rsidRDefault="00A91F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1"/>
    <w:rsid w:val="00007F2A"/>
    <w:rsid w:val="00011B72"/>
    <w:rsid w:val="00013BF4"/>
    <w:rsid w:val="000326F2"/>
    <w:rsid w:val="000435AB"/>
    <w:rsid w:val="00054B0E"/>
    <w:rsid w:val="00067B3B"/>
    <w:rsid w:val="00071A8F"/>
    <w:rsid w:val="0009530D"/>
    <w:rsid w:val="000A6D77"/>
    <w:rsid w:val="000A6D97"/>
    <w:rsid w:val="000B2573"/>
    <w:rsid w:val="000B320E"/>
    <w:rsid w:val="000B3FC6"/>
    <w:rsid w:val="000C2A4E"/>
    <w:rsid w:val="000C59D7"/>
    <w:rsid w:val="000D1390"/>
    <w:rsid w:val="000F0A05"/>
    <w:rsid w:val="000F3348"/>
    <w:rsid w:val="00141FE2"/>
    <w:rsid w:val="00176096"/>
    <w:rsid w:val="0018374C"/>
    <w:rsid w:val="00184D4D"/>
    <w:rsid w:val="001938B4"/>
    <w:rsid w:val="0019610B"/>
    <w:rsid w:val="001B0B91"/>
    <w:rsid w:val="001B3528"/>
    <w:rsid w:val="001B35F9"/>
    <w:rsid w:val="001B6424"/>
    <w:rsid w:val="001C622E"/>
    <w:rsid w:val="001D0F49"/>
    <w:rsid w:val="001D2A76"/>
    <w:rsid w:val="001E234E"/>
    <w:rsid w:val="001F59FA"/>
    <w:rsid w:val="0020689F"/>
    <w:rsid w:val="0021709D"/>
    <w:rsid w:val="00222490"/>
    <w:rsid w:val="0023124C"/>
    <w:rsid w:val="00244497"/>
    <w:rsid w:val="002604D0"/>
    <w:rsid w:val="00270902"/>
    <w:rsid w:val="00277D56"/>
    <w:rsid w:val="00281CD4"/>
    <w:rsid w:val="00286106"/>
    <w:rsid w:val="00287ACE"/>
    <w:rsid w:val="002934EF"/>
    <w:rsid w:val="00296FF9"/>
    <w:rsid w:val="002A119E"/>
    <w:rsid w:val="002A1C35"/>
    <w:rsid w:val="002A5F6F"/>
    <w:rsid w:val="002A63C6"/>
    <w:rsid w:val="002B7032"/>
    <w:rsid w:val="002C09C3"/>
    <w:rsid w:val="002D0023"/>
    <w:rsid w:val="002D3808"/>
    <w:rsid w:val="002D4023"/>
    <w:rsid w:val="002E139E"/>
    <w:rsid w:val="002F0BDB"/>
    <w:rsid w:val="003020F5"/>
    <w:rsid w:val="00313BB1"/>
    <w:rsid w:val="00315B66"/>
    <w:rsid w:val="00323999"/>
    <w:rsid w:val="00324F80"/>
    <w:rsid w:val="003348AF"/>
    <w:rsid w:val="00342F49"/>
    <w:rsid w:val="003462C3"/>
    <w:rsid w:val="00352513"/>
    <w:rsid w:val="00362FAA"/>
    <w:rsid w:val="00363A37"/>
    <w:rsid w:val="00394136"/>
    <w:rsid w:val="0039491F"/>
    <w:rsid w:val="0039744E"/>
    <w:rsid w:val="003B1D34"/>
    <w:rsid w:val="003C1FAB"/>
    <w:rsid w:val="003C6E7A"/>
    <w:rsid w:val="003C7198"/>
    <w:rsid w:val="003D54A3"/>
    <w:rsid w:val="003F0D94"/>
    <w:rsid w:val="003F7F74"/>
    <w:rsid w:val="00401D3E"/>
    <w:rsid w:val="0040370B"/>
    <w:rsid w:val="004317C0"/>
    <w:rsid w:val="00444458"/>
    <w:rsid w:val="0045120F"/>
    <w:rsid w:val="004534E5"/>
    <w:rsid w:val="0047616D"/>
    <w:rsid w:val="004767E8"/>
    <w:rsid w:val="00480B8F"/>
    <w:rsid w:val="00481699"/>
    <w:rsid w:val="00482465"/>
    <w:rsid w:val="004824C4"/>
    <w:rsid w:val="00484B4B"/>
    <w:rsid w:val="0048537E"/>
    <w:rsid w:val="00495249"/>
    <w:rsid w:val="004A15CC"/>
    <w:rsid w:val="004A2417"/>
    <w:rsid w:val="004A4A5A"/>
    <w:rsid w:val="004A51DD"/>
    <w:rsid w:val="004B5329"/>
    <w:rsid w:val="004C725D"/>
    <w:rsid w:val="004D019E"/>
    <w:rsid w:val="004D0745"/>
    <w:rsid w:val="004D41C1"/>
    <w:rsid w:val="004D766F"/>
    <w:rsid w:val="004E1225"/>
    <w:rsid w:val="004E6BC6"/>
    <w:rsid w:val="004E6F12"/>
    <w:rsid w:val="005003A6"/>
    <w:rsid w:val="00515DC6"/>
    <w:rsid w:val="0051629C"/>
    <w:rsid w:val="00546B61"/>
    <w:rsid w:val="00546CB9"/>
    <w:rsid w:val="00551003"/>
    <w:rsid w:val="0055194C"/>
    <w:rsid w:val="00562990"/>
    <w:rsid w:val="005672A0"/>
    <w:rsid w:val="00585932"/>
    <w:rsid w:val="00587DC6"/>
    <w:rsid w:val="00590862"/>
    <w:rsid w:val="0059419F"/>
    <w:rsid w:val="005B5127"/>
    <w:rsid w:val="005B7F0B"/>
    <w:rsid w:val="005C55A1"/>
    <w:rsid w:val="005C5E38"/>
    <w:rsid w:val="005D0D68"/>
    <w:rsid w:val="005D2C5D"/>
    <w:rsid w:val="005E1C2E"/>
    <w:rsid w:val="005E41AC"/>
    <w:rsid w:val="005E5842"/>
    <w:rsid w:val="005E5A0C"/>
    <w:rsid w:val="00602EE2"/>
    <w:rsid w:val="0061775A"/>
    <w:rsid w:val="00621396"/>
    <w:rsid w:val="00623394"/>
    <w:rsid w:val="0063383C"/>
    <w:rsid w:val="00653D83"/>
    <w:rsid w:val="006561AD"/>
    <w:rsid w:val="006574B0"/>
    <w:rsid w:val="00662D75"/>
    <w:rsid w:val="00663F22"/>
    <w:rsid w:val="0066680C"/>
    <w:rsid w:val="00676CFD"/>
    <w:rsid w:val="006838B7"/>
    <w:rsid w:val="00696392"/>
    <w:rsid w:val="006A154F"/>
    <w:rsid w:val="006A66A6"/>
    <w:rsid w:val="006A793D"/>
    <w:rsid w:val="006A7DFB"/>
    <w:rsid w:val="006B3226"/>
    <w:rsid w:val="006B3312"/>
    <w:rsid w:val="006B5672"/>
    <w:rsid w:val="006B5F44"/>
    <w:rsid w:val="006C7771"/>
    <w:rsid w:val="006E0FB9"/>
    <w:rsid w:val="006E3B99"/>
    <w:rsid w:val="006F122D"/>
    <w:rsid w:val="0070715E"/>
    <w:rsid w:val="00723858"/>
    <w:rsid w:val="0073027E"/>
    <w:rsid w:val="007319D0"/>
    <w:rsid w:val="00735F9E"/>
    <w:rsid w:val="0074194F"/>
    <w:rsid w:val="00746747"/>
    <w:rsid w:val="00750EBD"/>
    <w:rsid w:val="007538C9"/>
    <w:rsid w:val="00756BB2"/>
    <w:rsid w:val="0077484B"/>
    <w:rsid w:val="00780DD5"/>
    <w:rsid w:val="00780DD8"/>
    <w:rsid w:val="00785606"/>
    <w:rsid w:val="007B525A"/>
    <w:rsid w:val="007B52E0"/>
    <w:rsid w:val="007E3AA9"/>
    <w:rsid w:val="008045CF"/>
    <w:rsid w:val="008072DD"/>
    <w:rsid w:val="00807F4A"/>
    <w:rsid w:val="00834B39"/>
    <w:rsid w:val="0083773A"/>
    <w:rsid w:val="008405C7"/>
    <w:rsid w:val="00853289"/>
    <w:rsid w:val="00855890"/>
    <w:rsid w:val="0085726A"/>
    <w:rsid w:val="0086754A"/>
    <w:rsid w:val="00872162"/>
    <w:rsid w:val="008C3417"/>
    <w:rsid w:val="008D550B"/>
    <w:rsid w:val="008E20E6"/>
    <w:rsid w:val="008E3477"/>
    <w:rsid w:val="008E3E3B"/>
    <w:rsid w:val="008E4224"/>
    <w:rsid w:val="008E7383"/>
    <w:rsid w:val="008F112F"/>
    <w:rsid w:val="008F3740"/>
    <w:rsid w:val="00902ECF"/>
    <w:rsid w:val="00915FF2"/>
    <w:rsid w:val="0093203E"/>
    <w:rsid w:val="0093359F"/>
    <w:rsid w:val="00933A60"/>
    <w:rsid w:val="0093731F"/>
    <w:rsid w:val="009410A0"/>
    <w:rsid w:val="00953F66"/>
    <w:rsid w:val="00974CF5"/>
    <w:rsid w:val="00977860"/>
    <w:rsid w:val="00980149"/>
    <w:rsid w:val="00983FDB"/>
    <w:rsid w:val="009840BD"/>
    <w:rsid w:val="009A674A"/>
    <w:rsid w:val="009A6BC6"/>
    <w:rsid w:val="009B06B6"/>
    <w:rsid w:val="009C05EB"/>
    <w:rsid w:val="009C0C1A"/>
    <w:rsid w:val="009C3512"/>
    <w:rsid w:val="009C743D"/>
    <w:rsid w:val="009D44DF"/>
    <w:rsid w:val="009E03A3"/>
    <w:rsid w:val="009F340A"/>
    <w:rsid w:val="009F441D"/>
    <w:rsid w:val="009F6385"/>
    <w:rsid w:val="00A00AFA"/>
    <w:rsid w:val="00A0170E"/>
    <w:rsid w:val="00A050C0"/>
    <w:rsid w:val="00A16ECB"/>
    <w:rsid w:val="00A33826"/>
    <w:rsid w:val="00A3514B"/>
    <w:rsid w:val="00A35673"/>
    <w:rsid w:val="00A37A8E"/>
    <w:rsid w:val="00A41B13"/>
    <w:rsid w:val="00A46E04"/>
    <w:rsid w:val="00A542A4"/>
    <w:rsid w:val="00A663DA"/>
    <w:rsid w:val="00A847CA"/>
    <w:rsid w:val="00A91F58"/>
    <w:rsid w:val="00A95382"/>
    <w:rsid w:val="00AB2C0D"/>
    <w:rsid w:val="00AB704B"/>
    <w:rsid w:val="00AD6960"/>
    <w:rsid w:val="00AE1E4D"/>
    <w:rsid w:val="00AE2C1A"/>
    <w:rsid w:val="00AE7798"/>
    <w:rsid w:val="00AF2A24"/>
    <w:rsid w:val="00B04143"/>
    <w:rsid w:val="00B0436B"/>
    <w:rsid w:val="00B112CE"/>
    <w:rsid w:val="00B1343E"/>
    <w:rsid w:val="00B24BF2"/>
    <w:rsid w:val="00B25073"/>
    <w:rsid w:val="00B25CE8"/>
    <w:rsid w:val="00B26278"/>
    <w:rsid w:val="00B35AD1"/>
    <w:rsid w:val="00B505A6"/>
    <w:rsid w:val="00B608DC"/>
    <w:rsid w:val="00B70EF3"/>
    <w:rsid w:val="00B84746"/>
    <w:rsid w:val="00B86AD1"/>
    <w:rsid w:val="00BA0DAF"/>
    <w:rsid w:val="00BA447A"/>
    <w:rsid w:val="00BA711D"/>
    <w:rsid w:val="00BB10D7"/>
    <w:rsid w:val="00BC0B10"/>
    <w:rsid w:val="00BC1BBD"/>
    <w:rsid w:val="00BC6A1D"/>
    <w:rsid w:val="00BD0F88"/>
    <w:rsid w:val="00BF3302"/>
    <w:rsid w:val="00BF4E72"/>
    <w:rsid w:val="00BF6706"/>
    <w:rsid w:val="00C06396"/>
    <w:rsid w:val="00C163AA"/>
    <w:rsid w:val="00C1774D"/>
    <w:rsid w:val="00C233D1"/>
    <w:rsid w:val="00C361EB"/>
    <w:rsid w:val="00C43AE4"/>
    <w:rsid w:val="00C631B0"/>
    <w:rsid w:val="00C6798F"/>
    <w:rsid w:val="00C67DBA"/>
    <w:rsid w:val="00C71255"/>
    <w:rsid w:val="00C74029"/>
    <w:rsid w:val="00C76EFF"/>
    <w:rsid w:val="00C86EF6"/>
    <w:rsid w:val="00CA265A"/>
    <w:rsid w:val="00CB3D89"/>
    <w:rsid w:val="00CD3889"/>
    <w:rsid w:val="00CE3900"/>
    <w:rsid w:val="00CF7E0B"/>
    <w:rsid w:val="00D01F24"/>
    <w:rsid w:val="00D04077"/>
    <w:rsid w:val="00D06F09"/>
    <w:rsid w:val="00D1071A"/>
    <w:rsid w:val="00D1133A"/>
    <w:rsid w:val="00D25E74"/>
    <w:rsid w:val="00D26318"/>
    <w:rsid w:val="00D323F8"/>
    <w:rsid w:val="00D357F8"/>
    <w:rsid w:val="00D460E6"/>
    <w:rsid w:val="00D5149E"/>
    <w:rsid w:val="00D556C7"/>
    <w:rsid w:val="00D55EEC"/>
    <w:rsid w:val="00D81CA2"/>
    <w:rsid w:val="00D87346"/>
    <w:rsid w:val="00D964FB"/>
    <w:rsid w:val="00DC0728"/>
    <w:rsid w:val="00DC2250"/>
    <w:rsid w:val="00DC5D35"/>
    <w:rsid w:val="00DC7846"/>
    <w:rsid w:val="00DD217C"/>
    <w:rsid w:val="00DD32F7"/>
    <w:rsid w:val="00DD546E"/>
    <w:rsid w:val="00DD692D"/>
    <w:rsid w:val="00DE2B29"/>
    <w:rsid w:val="00DE559B"/>
    <w:rsid w:val="00DE67CF"/>
    <w:rsid w:val="00DF28B6"/>
    <w:rsid w:val="00E00F16"/>
    <w:rsid w:val="00E0346E"/>
    <w:rsid w:val="00E139F5"/>
    <w:rsid w:val="00E16253"/>
    <w:rsid w:val="00E23E1A"/>
    <w:rsid w:val="00E25953"/>
    <w:rsid w:val="00E26C57"/>
    <w:rsid w:val="00E501F0"/>
    <w:rsid w:val="00E50B45"/>
    <w:rsid w:val="00E53259"/>
    <w:rsid w:val="00E75371"/>
    <w:rsid w:val="00E900AB"/>
    <w:rsid w:val="00E90737"/>
    <w:rsid w:val="00E919E9"/>
    <w:rsid w:val="00E93055"/>
    <w:rsid w:val="00E9535F"/>
    <w:rsid w:val="00E95953"/>
    <w:rsid w:val="00E96ABE"/>
    <w:rsid w:val="00EA3756"/>
    <w:rsid w:val="00EA61A0"/>
    <w:rsid w:val="00EB1693"/>
    <w:rsid w:val="00EB712A"/>
    <w:rsid w:val="00EC4DCE"/>
    <w:rsid w:val="00EE2CFF"/>
    <w:rsid w:val="00EF16C3"/>
    <w:rsid w:val="00EF2DDA"/>
    <w:rsid w:val="00EF3B7A"/>
    <w:rsid w:val="00F0457C"/>
    <w:rsid w:val="00F061CE"/>
    <w:rsid w:val="00F068D5"/>
    <w:rsid w:val="00F124C1"/>
    <w:rsid w:val="00F16431"/>
    <w:rsid w:val="00F25452"/>
    <w:rsid w:val="00F35D9B"/>
    <w:rsid w:val="00F54236"/>
    <w:rsid w:val="00F57F5B"/>
    <w:rsid w:val="00F77818"/>
    <w:rsid w:val="00F77FBB"/>
    <w:rsid w:val="00F86116"/>
    <w:rsid w:val="00F867A9"/>
    <w:rsid w:val="00F87849"/>
    <w:rsid w:val="00F900EB"/>
    <w:rsid w:val="00F91021"/>
    <w:rsid w:val="00F9341B"/>
    <w:rsid w:val="00F9450A"/>
    <w:rsid w:val="00F97AD9"/>
    <w:rsid w:val="00FA1045"/>
    <w:rsid w:val="00FC328F"/>
    <w:rsid w:val="00FD1B7D"/>
    <w:rsid w:val="00FE1AFE"/>
    <w:rsid w:val="00FE3423"/>
    <w:rsid w:val="00FE423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36AD"/>
  <w15:chartTrackingRefBased/>
  <w15:docId w15:val="{F7D58733-D685-449E-8738-30F8FB87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C1"/>
  </w:style>
  <w:style w:type="paragraph" w:styleId="4">
    <w:name w:val="heading 4"/>
    <w:basedOn w:val="a"/>
    <w:link w:val="40"/>
    <w:uiPriority w:val="9"/>
    <w:qFormat/>
    <w:rsid w:val="00A356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5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35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9A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22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F58"/>
  </w:style>
  <w:style w:type="paragraph" w:styleId="aa">
    <w:name w:val="footer"/>
    <w:basedOn w:val="a"/>
    <w:link w:val="ab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F58"/>
  </w:style>
  <w:style w:type="character" w:customStyle="1" w:styleId="40">
    <w:name w:val="Заголовок 4 Знак"/>
    <w:basedOn w:val="a0"/>
    <w:link w:val="4"/>
    <w:uiPriority w:val="9"/>
    <w:rsid w:val="00A35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5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4">
    <w:name w:val="FR4"/>
    <w:rsid w:val="006561A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B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10616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245</cp:revision>
  <cp:lastPrinted>2025-02-17T06:56:00Z</cp:lastPrinted>
  <dcterms:created xsi:type="dcterms:W3CDTF">2020-02-19T11:05:00Z</dcterms:created>
  <dcterms:modified xsi:type="dcterms:W3CDTF">2025-02-17T07:02:00Z</dcterms:modified>
</cp:coreProperties>
</file>