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1. На землях государственная собственность на которых не разграничена, вблизи ул. Кожевенная, 1,3,5, в границах кадастрового квартала: 23:43:0206098.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94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Calibri" w:hAnsi="Calibri" w:eastAsia="Calibri"/>
                <w:spacing w:val="-6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Строительства объектов сетей водоснабжения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>с 2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7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.11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2025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.12.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2025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; Технические условия подключения объекта капитального строительства к сетям водоснабжения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18.10.2023 № ИД-3-83-23.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Application>LibreOffice/24.8.4.2$Linux_X86_64 LibreOffice_project/480$Build-2</Application>
  <AppVersion>15.0000</AppVersion>
  <Pages>2</Pages>
  <Words>318</Words>
  <Characters>2320</Characters>
  <CharactersWithSpaces>2628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2025-11-18T16:30:56Z</cp:lastPrinted>
  <dcterms:modified xsi:type="dcterms:W3CDTF">2025-11-24T09:35:40Z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