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2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муниципального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2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2"/>
        <w:jc w:val="center"/>
        <w:rPr>
          <w:rFonts w:ascii="Times New Roman" w:hAnsi="Times New Roman" w:cs="Times New Roman"/>
          <w:b/>
          <w:sz w:val="28"/>
          <w:szCs w:val="28"/>
        </w:rPr>
      </w:pPr>
      <w:r/>
      <w:bookmarkStart w:id="0" w:name="P1691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согласии на обработку персональных данных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личность, 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(наименование, серия и номер)</w:t>
      </w:r>
      <w:r>
        <w:rPr>
          <w:rFonts w:ascii="Times New Roman" w:hAnsi="Times New Roman" w:cs="Times New Roman"/>
        </w:rPr>
      </w:r>
    </w:p>
    <w:p>
      <w:pPr>
        <w:pStyle w:val="6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(кем выдан, дата выдачи)</w:t>
      </w:r>
      <w:r>
        <w:rPr>
          <w:rFonts w:ascii="Times New Roman" w:hAnsi="Times New Roman" w:cs="Times New Roman"/>
        </w:rPr>
      </w:r>
    </w:p>
    <w:p>
      <w:pPr>
        <w:pStyle w:val="6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места регистрации 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Заполняется в случае получения согласия от представителя субъекта персональных данных для представителя субъекта персональных данных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(Ф.И.О., дата рождения)</w:t>
      </w:r>
      <w:r>
        <w:rPr>
          <w:rFonts w:ascii="Times New Roman" w:hAnsi="Times New Roman" w:cs="Times New Roman"/>
        </w:rPr>
      </w:r>
    </w:p>
    <w:p>
      <w:pPr>
        <w:pStyle w:val="6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личность, 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(наименование, серия и номер)</w:t>
      </w:r>
      <w:r>
        <w:rPr>
          <w:rFonts w:ascii="Times New Roman" w:hAnsi="Times New Roman" w:cs="Times New Roman"/>
        </w:rPr>
      </w:r>
    </w:p>
    <w:p>
      <w:pPr>
        <w:pStyle w:val="6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(кем выдан, дата выдачи)</w:t>
      </w:r>
      <w:r>
        <w:rPr>
          <w:rFonts w:ascii="Times New Roman" w:hAnsi="Times New Roman" w:cs="Times New Roman"/>
        </w:rPr>
      </w:r>
    </w:p>
    <w:p>
      <w:pPr>
        <w:pStyle w:val="6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представителя, 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(наименование, серия, номер документа, кем и когда выдан)</w:t>
      </w:r>
      <w:r>
        <w:rPr>
          <w:rFonts w:ascii="Times New Roman" w:hAnsi="Times New Roman" w:cs="Times New Roman"/>
        </w:rPr>
      </w:r>
    </w:p>
    <w:p>
      <w:pPr>
        <w:pStyle w:val="6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Федерального </w:t>
      </w:r>
      <w:hyperlink r:id="rId11" w:tooltip="consultantplus://offline/ref=439AC3A82EC6B3277A8C1B1CB636EE406822F633C869897F2CCC3C9D715BA31049C1F88E0F1E2C45C6D57DD30778b5L" w:history="1">
        <w:r>
          <w:rPr>
            <w:rFonts w:ascii="Times New Roman" w:hAnsi="Times New Roman" w:cs="Times New Roman"/>
            <w:sz w:val="20"/>
            <w:szCs w:val="20"/>
          </w:rPr>
          <w:t xml:space="preserve">закона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от 27.07.2006 № 152-ФЗ «О персональных данных», в целях участия в мероприятии по обеспечению жильём молодых семей федерального проекта «Содействие субъектам Российской Федерации в реализации полномочий по о</w:t>
      </w:r>
      <w:r>
        <w:rPr>
          <w:rFonts w:ascii="Times New Roman" w:hAnsi="Times New Roman" w:cs="Times New Roman"/>
          <w:sz w:val="20"/>
          <w:szCs w:val="20"/>
        </w:rPr>
        <w:t xml:space="preserve">казанию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 (далее – </w:t>
      </w:r>
      <w:r>
        <w:rPr>
          <w:rFonts w:ascii="Times New Roman" w:hAnsi="Times New Roman" w:cs="Times New Roman"/>
          <w:sz w:val="20"/>
          <w:szCs w:val="20"/>
        </w:rPr>
        <w:t xml:space="preserve">мероприятие) и выдачи свидетельства на получение социальной выплаты на приобретение (строительство) жилья по данному мероприятию, выражаю своё согласие на осуществление администрацией муниципального образования город Краснодар, место нахождения: 350000, г.</w:t>
      </w:r>
      <w:r>
        <w:rPr>
          <w:rFonts w:ascii="Times New Roman" w:hAnsi="Times New Roman" w:cs="Times New Roman"/>
          <w:sz w:val="20"/>
          <w:szCs w:val="20"/>
        </w:rPr>
        <w:t xml:space="preserve"> Краснодар, ул. Красная, 122 (далее – Оператор), обработки персональных данных с применением следующих основных способов (но, не ограничиваясь ими): получение, хранение, комбинирование, передача, а также обработка с помощью различных средств связи (почтов</w:t>
      </w:r>
      <w:r>
        <w:rPr>
          <w:rFonts w:ascii="Times New Roman" w:hAnsi="Times New Roman" w:cs="Times New Roman"/>
          <w:sz w:val="20"/>
          <w:szCs w:val="20"/>
        </w:rPr>
        <w:t xml:space="preserve">ая рассылка, электронная почта, телефон, факсимильная связь, сеть Интернет) или любой другой обработки моих персональных данных, указанных в заявлении о включении в состав участников мероприятия, а также в представленных документах на получение социальной </w:t>
      </w:r>
      <w:r>
        <w:rPr>
          <w:rFonts w:ascii="Times New Roman" w:hAnsi="Times New Roman" w:cs="Times New Roman"/>
          <w:sz w:val="20"/>
          <w:szCs w:val="20"/>
        </w:rPr>
        <w:t xml:space="preserve">выплаты на приобретение жилого помещения или строительство индивидуального жилого дома, таких как: сведения о фамилии, имени, отчестве, дате рождения; сведения о составе семьи; сведения о документе, удостоверяющем личность; сведения о месте регистрации, пр</w:t>
      </w:r>
      <w:r>
        <w:rPr>
          <w:rFonts w:ascii="Times New Roman" w:hAnsi="Times New Roman" w:cs="Times New Roman"/>
          <w:sz w:val="20"/>
          <w:szCs w:val="20"/>
        </w:rPr>
        <w:t xml:space="preserve">оживании; домашний и мобильный телефоны; копии решений судов, нотариальные документы; сведения об обладателях вещных и иных прав; сведения, содержащиеся в книгах записей актов гражданского состояния о рождении, заключении брака, расторжении брака, смерти, </w:t>
      </w:r>
      <w:r>
        <w:rPr>
          <w:rFonts w:ascii="Times New Roman" w:hAnsi="Times New Roman" w:cs="Times New Roman"/>
          <w:sz w:val="20"/>
          <w:szCs w:val="20"/>
        </w:rPr>
        <w:t xml:space="preserve">усыновлении, установлении отцовства, перемене фамилии, имени, отчества; сведения о наличии (отсутствии) у молодой семьи предусмотренных законодательством оснований признания её нуждающейся в жилом помещении; сведения о наличии (отсутствии) у молодой семьи </w:t>
      </w:r>
      <w:r>
        <w:rPr>
          <w:rFonts w:ascii="Times New Roman" w:hAnsi="Times New Roman" w:cs="Times New Roman"/>
          <w:sz w:val="20"/>
          <w:szCs w:val="20"/>
        </w:rPr>
        <w:t xml:space="preserve">имеющей доходы, позволяющие получить кредит, либо иные денежные средства для оплаты расчётной (средней) стоимости жилья в части, превышающей размер предоставляемой социальной выплаты; </w:t>
      </w:r>
      <w:r>
        <w:rPr>
          <w:rFonts w:ascii="Times New Roman" w:hAnsi="Times New Roman" w:cs="Times New Roman"/>
          <w:sz w:val="20"/>
          <w:szCs w:val="20"/>
        </w:rPr>
        <w:t xml:space="preserve">сведения о государственной регистрации права собственности на жилое помещение, приобретённое (построенное) с использованием средств ипотечного жилищного кредита (займа); сведения, </w:t>
      </w:r>
      <w:r>
        <w:rPr>
          <w:rFonts w:ascii="Times New Roman" w:hAnsi="Times New Roman" w:cs="Times New Roman"/>
          <w:sz w:val="20"/>
          <w:szCs w:val="20"/>
        </w:rPr>
        <w:t xml:space="preserve">содержащиеся в кредитном договоре (договоре займа); сведения о сумме остатка основного долга и сумме задолженности по выплате процентов за пользование ипотечным жилищным кредитом (займом) и иных данных, необходимых для участия в вышеуказанных мероприятиях.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Настоящим выражаю согласие и разрешаю Оп</w:t>
      </w:r>
      <w:r>
        <w:rPr>
          <w:rFonts w:ascii="Times New Roman" w:hAnsi="Times New Roman" w:cs="Times New Roman"/>
          <w:sz w:val="20"/>
          <w:szCs w:val="20"/>
        </w:rPr>
        <w:t xml:space="preserve">ератору и третьим лицам объединять персональные данные в информационную систему персональных данных и обрабатывать персональные данные с помощью средств автоматизации либо без использования средств автоматизации, а также с помощью иных программных средств.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Настоящим признаю и подтверждаю, что в случае необходимости представления персональных данных для достижения указанных выше целей третьим лицам, выражаю согласие и разрешаю Оператору передавать указанные персональные данные следующим третьим лицам: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Министерству строительства и жилищно-коммунального хозяйства Российской Федерации.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Министерству топливно-энергетического комплекса и жилищно-коммунального хозяйства Краснодарского края.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Государственному казённому учреждению Краснодарского края «Кубанский центр государственной поддержки населения и развития финансового рынка».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Кредитным</w:t>
      </w:r>
      <w:r>
        <w:rPr>
          <w:rFonts w:ascii="Times New Roman" w:hAnsi="Times New Roman" w:cs="Times New Roman"/>
          <w:sz w:val="20"/>
          <w:szCs w:val="20"/>
        </w:rPr>
        <w:t xml:space="preserve"> организациям, осуществляющим деятельность на территории Краснодарского края и заключившим с министерством топливно-энергетического комплекса и жилищно-коммунального хозяйства Краснодарского края соглашение о сотрудничестве в рамках реализации мероприятия.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 также иным третьим лицам, задействованным в реализации вышеуказанного мероприятия.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 этом Оператор гарантирует субъекту персональных данных обеспечение конфиденциальности и безопасности его персональных данных.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 проинформирован(а), что Оператор будет обрабатывать мои персональные данные как неавтоматизированным, так и автоматизированным (частично автоматизированным) способом обработки.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Оператор может проверить достоверность представленных мною персональных данных, в том числе с использованием услуг других операторов.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 уведомлен(а) о том, что мой отказ в предоставлении согласия на обработку выше о</w:t>
      </w:r>
      <w:r>
        <w:rPr>
          <w:rFonts w:ascii="Times New Roman" w:hAnsi="Times New Roman" w:cs="Times New Roman"/>
          <w:sz w:val="20"/>
          <w:szCs w:val="20"/>
        </w:rPr>
        <w:t xml:space="preserve">бозначенных персональных данных влечёт за собой невозможность предоставления социальной выплаты из средств местного бюджета (бюджета муниципального образования город Краснодар) на приобретение жилого помещения или строительство индивидуального жилого дома.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 согласие на обработку персональных данных является бессрочным и может быть отозвано посредством направления письменного заявления в адрес Оператора и/или указанных выше третьих лиц, которым передаются персональные данные.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Настоящим признаю и подтверждаю, что с правами и обязанностями в соответствии с Федеральным </w:t>
      </w:r>
      <w:hyperlink r:id="rId12" w:tooltip="consultantplus://offline/ref=439AC3A82EC6B3277A8C1B1CB636EE406822F633C869897F2CCC3C9D715BA31049C1F88E0F1E2C45C6D57DD30778b5L" w:history="1">
        <w:r>
          <w:rPr>
            <w:rFonts w:ascii="Times New Roman" w:hAnsi="Times New Roman" w:cs="Times New Roman"/>
            <w:sz w:val="20"/>
            <w:szCs w:val="20"/>
          </w:rPr>
          <w:t xml:space="preserve">законом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от 27.07.2006 № 152-ФЗ «О персональных данных», в том числе порядком отзыва согласия на обработку персональных данных, ознакомлен.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                 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(дата)                                                                                        (подпись)</w:t>
      </w:r>
      <w:r>
        <w:rPr>
          <w:rFonts w:ascii="Times New Roman" w:hAnsi="Times New Roman" w:cs="Times New Roman"/>
        </w:rPr>
      </w:r>
    </w:p>
    <w:p>
      <w:pPr>
        <w:pStyle w:val="661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1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1134" w:right="850" w:bottom="1134" w:left="1701" w:header="708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Segoe UI">
    <w:panose1 w:val="020B0502040504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90990204"/>
      <w:docPartObj>
        <w:docPartGallery w:val="Page Numbers (Top of Page)"/>
        <w:docPartUnique w:val="true"/>
      </w:docPartObj>
      <w:rPr/>
    </w:sdtPr>
    <w:sdtContent>
      <w:p>
        <w:pPr>
          <w:pStyle w:val="67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6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2">
    <w:name w:val="No List"/>
    <w:uiPriority w:val="99"/>
    <w:semiHidden/>
    <w:unhideWhenUsed/>
  </w:style>
  <w:style w:type="paragraph" w:styleId="13">
    <w:name w:val="Heading 1"/>
    <w:basedOn w:val="661"/>
    <w:next w:val="66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1"/>
    <w:next w:val="66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1"/>
    <w:next w:val="66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1"/>
    <w:next w:val="66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1"/>
    <w:next w:val="66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1"/>
    <w:next w:val="66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1"/>
    <w:next w:val="66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1"/>
    <w:next w:val="66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1"/>
    <w:next w:val="66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1"/>
    <w:next w:val="66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2"/>
    <w:link w:val="34"/>
    <w:uiPriority w:val="10"/>
    <w:rPr>
      <w:sz w:val="48"/>
      <w:szCs w:val="48"/>
    </w:rPr>
  </w:style>
  <w:style w:type="paragraph" w:styleId="36">
    <w:name w:val="Subtitle"/>
    <w:basedOn w:val="661"/>
    <w:next w:val="66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2"/>
    <w:link w:val="36"/>
    <w:uiPriority w:val="11"/>
    <w:rPr>
      <w:sz w:val="24"/>
      <w:szCs w:val="24"/>
    </w:rPr>
  </w:style>
  <w:style w:type="paragraph" w:styleId="38">
    <w:name w:val="Quote"/>
    <w:basedOn w:val="661"/>
    <w:next w:val="66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1"/>
    <w:next w:val="66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2"/>
    <w:link w:val="675"/>
    <w:uiPriority w:val="99"/>
  </w:style>
  <w:style w:type="character" w:styleId="45">
    <w:name w:val="Footer Char"/>
    <w:basedOn w:val="662"/>
    <w:link w:val="676"/>
    <w:uiPriority w:val="99"/>
  </w:style>
  <w:style w:type="character" w:styleId="47">
    <w:name w:val="Caption Char"/>
    <w:basedOn w:val="662"/>
    <w:link w:val="670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2"/>
    <w:uiPriority w:val="99"/>
    <w:unhideWhenUsed/>
    <w:rPr>
      <w:vertAlign w:val="superscript"/>
    </w:rPr>
  </w:style>
  <w:style w:type="paragraph" w:styleId="178">
    <w:name w:val="endnote text"/>
    <w:basedOn w:val="66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2"/>
    <w:uiPriority w:val="99"/>
    <w:semiHidden/>
    <w:unhideWhenUsed/>
    <w:rPr>
      <w:vertAlign w:val="superscript"/>
    </w:rPr>
  </w:style>
  <w:style w:type="paragraph" w:styleId="181">
    <w:name w:val="toc 1"/>
    <w:basedOn w:val="661"/>
    <w:next w:val="66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1"/>
    <w:next w:val="66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1"/>
    <w:next w:val="66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1"/>
    <w:next w:val="66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1"/>
    <w:next w:val="66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1"/>
    <w:next w:val="66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1"/>
    <w:next w:val="66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1"/>
    <w:next w:val="66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1"/>
    <w:next w:val="66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1"/>
    <w:next w:val="661"/>
    <w:uiPriority w:val="99"/>
    <w:unhideWhenUsed/>
    <w:pPr>
      <w:spacing w:after="0" w:afterAutospacing="0"/>
    </w:pPr>
  </w:style>
  <w:style w:type="paragraph" w:styleId="661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662" w:default="1">
    <w:name w:val="Default Paragraph Font"/>
    <w:uiPriority w:val="1"/>
    <w:semiHidden/>
    <w:unhideWhenUsed/>
    <w:qFormat/>
  </w:style>
  <w:style w:type="character" w:styleId="663" w:customStyle="1">
    <w:name w:val="Верхний колонтитул Знак"/>
    <w:basedOn w:val="662"/>
    <w:uiPriority w:val="99"/>
    <w:qFormat/>
  </w:style>
  <w:style w:type="character" w:styleId="664" w:customStyle="1">
    <w:name w:val="Нижний колонтитул Знак"/>
    <w:basedOn w:val="662"/>
    <w:uiPriority w:val="99"/>
    <w:qFormat/>
  </w:style>
  <w:style w:type="character" w:styleId="665" w:customStyle="1">
    <w:name w:val="Текст выноски Знак"/>
    <w:basedOn w:val="662"/>
    <w:link w:val="677"/>
    <w:uiPriority w:val="99"/>
    <w:semiHidden/>
    <w:qFormat/>
    <w:rPr>
      <w:rFonts w:ascii="Segoe UI" w:hAnsi="Segoe UI" w:cs="Segoe UI"/>
      <w:sz w:val="18"/>
      <w:szCs w:val="18"/>
    </w:rPr>
  </w:style>
  <w:style w:type="character" w:styleId="666">
    <w:name w:val="Hyperlink"/>
    <w:rPr>
      <w:color w:val="000080"/>
      <w:u w:val="single"/>
    </w:rPr>
  </w:style>
  <w:style w:type="paragraph" w:styleId="667">
    <w:name w:val="Заголовок"/>
    <w:basedOn w:val="661"/>
    <w:next w:val="668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68">
    <w:name w:val="Body Text"/>
    <w:basedOn w:val="661"/>
    <w:pPr>
      <w:spacing w:before="0" w:after="140" w:line="276" w:lineRule="auto"/>
    </w:pPr>
  </w:style>
  <w:style w:type="paragraph" w:styleId="669">
    <w:name w:val="List"/>
    <w:basedOn w:val="668"/>
    <w:rPr>
      <w:rFonts w:ascii="PT Astra Serif" w:hAnsi="PT Astra Serif" w:cs="Noto Sans Devanagari"/>
    </w:rPr>
  </w:style>
  <w:style w:type="paragraph" w:styleId="670">
    <w:name w:val="Caption"/>
    <w:basedOn w:val="661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71">
    <w:name w:val="Указатель"/>
    <w:basedOn w:val="661"/>
    <w:qFormat/>
    <w:pPr>
      <w:suppressLineNumbers/>
    </w:pPr>
    <w:rPr>
      <w:rFonts w:ascii="PT Astra Serif" w:hAnsi="PT Astra Serif" w:cs="Noto Sans Devanagari"/>
    </w:rPr>
  </w:style>
  <w:style w:type="paragraph" w:styleId="672" w:customStyle="1">
    <w:name w:val="ConsPlusNormal"/>
    <w:qFormat/>
    <w:pPr>
      <w:jc w:val="left"/>
      <w:spacing w:before="0" w:after="0" w:line="240" w:lineRule="auto"/>
      <w:widowControl w:val="off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paragraph" w:styleId="673" w:customStyle="1">
    <w:name w:val="ConsPlusNonformat"/>
    <w:qFormat/>
    <w:pPr>
      <w:jc w:val="left"/>
      <w:spacing w:before="0" w:after="0" w:line="240" w:lineRule="auto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674">
    <w:name w:val="Header and Footer"/>
    <w:basedOn w:val="661"/>
    <w:qFormat/>
  </w:style>
  <w:style w:type="paragraph" w:styleId="675">
    <w:name w:val="Header"/>
    <w:basedOn w:val="661"/>
    <w:link w:val="663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76">
    <w:name w:val="Footer"/>
    <w:basedOn w:val="661"/>
    <w:link w:val="664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77">
    <w:name w:val="Balloon Text"/>
    <w:basedOn w:val="661"/>
    <w:link w:val="665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numbering" w:styleId="678" w:default="1">
    <w:name w:val="Без списка"/>
    <w:uiPriority w:val="99"/>
    <w:semiHidden/>
    <w:unhideWhenUsed/>
    <w:qFormat/>
  </w:style>
  <w:style w:type="table" w:styleId="67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Table Grid"/>
    <w:basedOn w:val="67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yperlink" Target="consultantplus://offline/ref=439AC3A82EC6B3277A8C1B1CB636EE406822F633C869897F2CCC3C9D715BA31049C1F88E0F1E2C45C6D57DD30778b5L" TargetMode="External"/><Relationship Id="rId12" Type="http://schemas.openxmlformats.org/officeDocument/2006/relationships/hyperlink" Target="consultantplus://offline/ref=439AC3A82EC6B3277A8C1B1CB636EE406822F633C869897F2CCC3C9D715BA31049C1F88E0F1E2C45C6D57DD30778b5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О.В.</dc:creator>
  <dc:description/>
  <dc:language>ru-RU</dc:language>
  <cp:lastModifiedBy>o.mentsanina</cp:lastModifiedBy>
  <cp:revision>14</cp:revision>
  <dcterms:created xsi:type="dcterms:W3CDTF">2023-01-18T11:23:00Z</dcterms:created>
  <dcterms:modified xsi:type="dcterms:W3CDTF">2025-10-10T08:06:42Z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