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1. На землях государственная собственность на которых не разграничена, в границах кадастрового квартала: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0409051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43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12" w:before="0" w:after="0"/>
              <w:jc w:val="both"/>
              <w:rPr>
                <w:rFonts w:ascii="Calibri" w:hAnsi="Calibri" w:eastAsia="Calibri"/>
                <w:spacing w:val="-6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PT Astra Serif" w:ascii="PT Astra Serif" w:hAnsi="PT Astra Serif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Строительства объектов сетей водоснабжения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>с 2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0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.1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2025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4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202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6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; Технические условия подключения объекта капитального строительства к сетям водоснабжения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от 18.10.2023 № ИД-3-8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2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-23.</w:t>
      </w:r>
    </w:p>
    <w:sectPr>
      <w:type w:val="nextPage"/>
      <w:pgSz w:orient="landscape" w:w="16838" w:h="11906"/>
      <w:pgMar w:left="1134" w:right="962" w:gutter="0" w:header="0" w:top="87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LibreOffice/24.8.4.2$Linux_X86_64 LibreOffice_project/480$Build-2</Application>
  <AppVersion>15.0000</AppVersion>
  <Pages>2</Pages>
  <Words>314</Words>
  <Characters>2293</Characters>
  <CharactersWithSpaces>2597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2025-11-18T16:30:56Z</cp:lastPrinted>
  <dcterms:modified xsi:type="dcterms:W3CDTF">2025-12-16T14:09:37Z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