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240" w:after="60"/>
        <w:rPr>
          <w:rFonts w:ascii="Montserrat" w:hAnsi="Montserrat"/>
          <w:b w:val="false"/>
          <w:sz w:val="16"/>
          <w:szCs w:val="16"/>
        </w:rPr>
      </w:pPr>
      <w:r>
        <w:rPr/>
      </w:r>
    </w:p>
    <w:p>
      <w:pPr>
        <w:pStyle w:val="Normal"/>
        <w:spacing w:lineRule="auto" w:line="216"/>
        <w:jc w:val="center"/>
        <w:rPr/>
      </w:pPr>
      <w:r>
        <w:rPr>
          <w:rFonts w:ascii="Montserrat" w:hAnsi="Montserrat"/>
          <w:b/>
          <w:szCs w:val="28"/>
        </w:rPr>
        <w:t>Отделение СФР по Краснодарскому краю с начала года выдало более 5 тысяч путевок на санаторно-курортное лечение федеральным льготникам Кубани</w:t>
      </w:r>
    </w:p>
    <w:p>
      <w:pPr>
        <w:pStyle w:val="Normal"/>
        <w:spacing w:lineRule="auto" w:line="21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В 2025 году Отделение Социального фонда России по Краснодарскому краю направило почти 300 миллионов рублей на санаторно-курортное лечение для федеральных льготников: путевки на оздоровительные услуги получили уже 5 тысяч жителей Кубани.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Федеральные льготники Краснодарского края имеют право на получение государственной социальной помощи в виде набора социальных услуг, куда относится санаторно-курортного лечение. Воспользоваться данными услугами могут граждане с инвалидностью, ветераны боевых действий, граждане, пострадавшие в результате радиационных или техногенных катастроф, Герои России и СССР и другие. Путевка и бесплатный проезд не представляются лицам, отказавшимся от набора социальных услуг в пользу денежного эквивалента в составе ежемесячной денежной выплаты.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 xml:space="preserve">Путевки предоставляются в порядке очередности по дате подачи заявления и профилю заболевания. Жители Краснодарского края могут проверить свой номер в очереди </w:t>
      </w:r>
      <w:hyperlink r:id="rId2">
        <w:r>
          <w:rPr>
            <w:rStyle w:val="Hyperlink"/>
            <w:rFonts w:ascii="Montserrat" w:hAnsi="Montserrat"/>
          </w:rPr>
          <w:t>на сайте СФР</w:t>
        </w:r>
      </w:hyperlink>
      <w:r>
        <w:rPr>
          <w:rFonts w:ascii="Montserrat" w:hAnsi="Montserrat"/>
        </w:rPr>
        <w:t>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Длительность санаторно-курортного лечения для граждан льготной категории составляет 18 дней, для детей с инвалидностью — 21 день, для граждан с заболеваниями и последствиями травм спинного и головного мозга — от 24 до 42 дней.</w:t>
      </w:r>
    </w:p>
    <w:p>
      <w:pPr>
        <w:pStyle w:val="Normal"/>
        <w:spacing w:lineRule="auto" w:line="21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16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ind w:firstLine="708" w:start="5664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  <w:bookmarkStart w:id="0" w:name="_GoBack"/>
      <w:bookmarkStart w:id="1" w:name="_GoBack"/>
      <w:bookmarkEnd w:id="1"/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5410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-164465</wp:posOffset>
          </wp:positionV>
          <wp:extent cx="533400" cy="488315"/>
          <wp:effectExtent l="0" t="0" r="0" b="0"/>
          <wp:wrapTight wrapText="bothSides">
            <wp:wrapPolygon edited="0">
              <wp:start x="6737" y="0"/>
              <wp:lineTo x="-391" y="3797"/>
              <wp:lineTo x="-391" y="11809"/>
              <wp:lineTo x="6737" y="12642"/>
              <wp:lineTo x="2692" y="16646"/>
              <wp:lineTo x="1078" y="19055"/>
              <wp:lineTo x="1078" y="19835"/>
              <wp:lineTo x="18092" y="19835"/>
              <wp:lineTo x="18917" y="19835"/>
              <wp:lineTo x="15698" y="15044"/>
              <wp:lineTo x="19732" y="11037"/>
              <wp:lineTo x="19732" y="3797"/>
              <wp:lineTo x="13225" y="0"/>
              <wp:lineTo x="6737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5410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-164465</wp:posOffset>
          </wp:positionV>
          <wp:extent cx="533400" cy="488315"/>
          <wp:effectExtent l="0" t="0" r="0" b="0"/>
          <wp:wrapTight wrapText="bothSides">
            <wp:wrapPolygon edited="0">
              <wp:start x="6737" y="0"/>
              <wp:lineTo x="-391" y="3797"/>
              <wp:lineTo x="-391" y="11809"/>
              <wp:lineTo x="6737" y="12642"/>
              <wp:lineTo x="2692" y="16646"/>
              <wp:lineTo x="1078" y="19055"/>
              <wp:lineTo x="1078" y="19835"/>
              <wp:lineTo x="18092" y="19835"/>
              <wp:lineTo x="18917" y="19835"/>
              <wp:lineTo x="15698" y="15044"/>
              <wp:lineTo x="19732" y="11037"/>
              <wp:lineTo x="19732" y="3797"/>
              <wp:lineTo x="13225" y="0"/>
              <wp:lineTo x="6737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cial-insurance.sfr.gov.ru/r23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LibreOffice/24.8.4.2$Linux_X86_64 LibreOffice_project/480$Build-2</Application>
  <AppVersion>15.0000</AppVersion>
  <Pages>2</Pages>
  <Words>226</Words>
  <Characters>1585</Characters>
  <CharactersWithSpaces>1811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2025-08-29T12:09:25Z</dcterms:modified>
  <cp:revision>71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