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"/>
      </w:pPr>
      <w:r/>
      <w:r/>
    </w:p>
    <w:p>
      <w:pPr>
        <w:pStyle w:val="835"/>
        <w:jc w:val="both"/>
      </w:pPr>
      <w:r/>
      <w:r/>
    </w:p>
    <w:p>
      <w:pPr>
        <w:pStyle w:val="835"/>
        <w:jc w:val="center"/>
        <w:rPr>
          <w:rFonts w:ascii="Times New Roman" w:hAnsi="Times New Roman" w:cs="Times New Roman"/>
          <w:sz w:val="28"/>
        </w:rPr>
      </w:pPr>
      <w:r/>
      <w:bookmarkStart w:id="0" w:name="P160"/>
      <w:r/>
      <w:bookmarkEnd w:id="0"/>
      <w:r>
        <w:rPr>
          <w:rFonts w:ascii="Times New Roman" w:hAnsi="Times New Roman" w:cs="Times New Roman"/>
          <w:sz w:val="28"/>
        </w:rPr>
        <w:t xml:space="preserve">ИЗВЕЩЕНИЕ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НАЧАЛЕ ПРИЕМА ПРЕДЛОЖЕНИЙ ЗАЯВИТЕЛЕЙ 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ОПРЕДЕЛЕНИЯ ПЕРЕЧНЯ ОБЩЕСТВЕННЫХ ТЕРРИТОРИЙ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ПРОВЕДЕНИЯ ГОЛОСОВАНИЯ ПО ОТБОРУ ОБЩЕСТВЕННЫХ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ТЕРРИТОРИЙ, ПОДЛЕЖАЩИХ БЛАГОУСТРОЙСТВУ В </w:t>
      </w:r>
      <w:r>
        <w:rPr>
          <w:rFonts w:ascii="Times New Roman" w:hAnsi="Times New Roman" w:cs="Times New Roman"/>
          <w:sz w:val="28"/>
        </w:rPr>
        <w:t xml:space="preserve">П</w:t>
      </w:r>
      <w:r>
        <w:rPr>
          <w:rFonts w:ascii="Times New Roman" w:hAnsi="Times New Roman" w:cs="Times New Roman"/>
          <w:sz w:val="28"/>
        </w:rPr>
        <w:t xml:space="preserve">ЕРВООЧЕРЕДНОМ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ПОРЯДКЕ В РАМКАХ</w:t>
      </w:r>
      <w:r>
        <w:rPr>
          <w:rFonts w:ascii="Times New Roman" w:hAnsi="Times New Roman" w:cs="Times New Roman"/>
          <w:sz w:val="28"/>
        </w:rPr>
        <w:t xml:space="preserve"> МУНИЦИПАЛЬНОЙ ПРОГРАММЫ МУНИЦИПАЛЬНОГО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ОБРАЗОВАНИЯ ГОРОД КРАСНОДАР «</w:t>
      </w:r>
      <w:r>
        <w:rPr>
          <w:rFonts w:ascii="Times New Roman" w:hAnsi="Times New Roman" w:cs="Times New Roman"/>
          <w:sz w:val="28"/>
        </w:rPr>
        <w:t xml:space="preserve">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СОВРЕМЕННОЙ 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ГОРОДСКОЙ СРЕДЫ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5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муниципального образования город Краснодар, в лице департамента городского хозяйства и топливно-энергетического комплекса администрации муниципального обра</w:t>
      </w:r>
      <w:r>
        <w:rPr>
          <w:rFonts w:ascii="Times New Roman" w:hAnsi="Times New Roman" w:cs="Times New Roman"/>
          <w:sz w:val="28"/>
        </w:rPr>
        <w:t xml:space="preserve">зования город Краснодар (далее – </w:t>
      </w:r>
      <w:r>
        <w:rPr>
          <w:rFonts w:ascii="Times New Roman" w:hAnsi="Times New Roman" w:cs="Times New Roman"/>
          <w:sz w:val="28"/>
        </w:rPr>
        <w:t xml:space="preserve">уполномоченный орган), уведомляет о начале </w:t>
      </w:r>
      <w:r>
        <w:rPr>
          <w:rFonts w:ascii="Times New Roman" w:hAnsi="Times New Roman" w:cs="Times New Roman"/>
          <w:sz w:val="28"/>
        </w:rPr>
        <w:t xml:space="preserve">приема </w:t>
      </w:r>
      <w:r>
        <w:rPr>
          <w:rFonts w:ascii="Times New Roman" w:hAnsi="Times New Roman" w:cs="Times New Roman"/>
          <w:sz w:val="28"/>
        </w:rPr>
        <w:t xml:space="preserve">предложений заявителей в целях определения перечня общественных территорий для проведения голосования по отбору общественных территорий, подлежащих благоустройству в первоочередном порядке в рамках муниципальной программы муниципального образования город К</w:t>
      </w:r>
      <w:r>
        <w:rPr>
          <w:rFonts w:ascii="Times New Roman" w:hAnsi="Times New Roman" w:cs="Times New Roman"/>
          <w:sz w:val="28"/>
        </w:rPr>
        <w:t xml:space="preserve">раснодар «</w:t>
      </w:r>
      <w:r>
        <w:rPr>
          <w:rFonts w:ascii="Times New Roman" w:hAnsi="Times New Roman" w:cs="Times New Roman"/>
          <w:sz w:val="28"/>
        </w:rPr>
        <w:t xml:space="preserve">Формирова</w:t>
      </w:r>
      <w:r>
        <w:rPr>
          <w:rFonts w:ascii="Times New Roman" w:hAnsi="Times New Roman" w:cs="Times New Roman"/>
          <w:sz w:val="28"/>
        </w:rPr>
        <w:t xml:space="preserve">ние современной городской среды»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 предложений в целях определения перечня общественных территорий для проведения голосования в установленном порядке осуществляется </w:t>
      </w:r>
      <w:r>
        <w:rPr>
          <w:rFonts w:ascii="Times New Roman" w:hAnsi="Times New Roman" w:cs="Times New Roman"/>
          <w:sz w:val="28"/>
        </w:rPr>
        <w:t xml:space="preserve">в администрациях внутригородских округов города Краснодара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19.02.2024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26.02.2024</w:t>
      </w:r>
      <w:bookmarkStart w:id="1" w:name="_GoBack"/>
      <w:r>
        <w:rPr>
          <w:color w:val="000000" w:themeColor="text1"/>
        </w:rPr>
      </w:r>
      <w:bookmarkEnd w:id="1"/>
      <w:r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сл</w:t>
      </w:r>
      <w:r>
        <w:rPr>
          <w:rFonts w:ascii="Times New Roman" w:hAnsi="Times New Roman" w:cs="Times New Roman"/>
          <w:sz w:val="28"/>
        </w:rPr>
        <w:t xml:space="preserve">едующим </w:t>
      </w:r>
      <w:r>
        <w:rPr>
          <w:rFonts w:ascii="Times New Roman" w:hAnsi="Times New Roman" w:cs="Times New Roman"/>
          <w:sz w:val="28"/>
        </w:rPr>
        <w:t xml:space="preserve">адрес</w:t>
      </w:r>
      <w:r>
        <w:rPr>
          <w:rFonts w:ascii="Times New Roman" w:hAnsi="Times New Roman" w:cs="Times New Roman"/>
          <w:sz w:val="28"/>
        </w:rPr>
        <w:t xml:space="preserve">ам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ул. им. </w:t>
      </w:r>
      <w:r>
        <w:rPr>
          <w:rFonts w:ascii="Times New Roman" w:hAnsi="Times New Roman" w:cs="Times New Roman"/>
          <w:sz w:val="28"/>
        </w:rPr>
        <w:t xml:space="preserve">Атарбекова</w:t>
      </w:r>
      <w:r>
        <w:rPr>
          <w:rFonts w:ascii="Times New Roman" w:hAnsi="Times New Roman" w:cs="Times New Roman"/>
          <w:sz w:val="28"/>
        </w:rPr>
        <w:t xml:space="preserve">, 43 (</w:t>
      </w:r>
      <w:r>
        <w:rPr>
          <w:rFonts w:ascii="Times New Roman" w:hAnsi="Times New Roman" w:cs="Times New Roman"/>
          <w:sz w:val="28"/>
        </w:rPr>
        <w:t xml:space="preserve">Прикубанский</w:t>
      </w:r>
      <w:r>
        <w:rPr>
          <w:rFonts w:ascii="Times New Roman" w:hAnsi="Times New Roman" w:cs="Times New Roman"/>
          <w:sz w:val="28"/>
        </w:rPr>
        <w:t xml:space="preserve"> внутригородской округ); 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ул. Ставропольская, 77 (Центральный внутригородской округ);                                          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ул. им. Селезнева, 244 (</w:t>
      </w:r>
      <w:r>
        <w:rPr>
          <w:rFonts w:ascii="Times New Roman" w:hAnsi="Times New Roman" w:cs="Times New Roman"/>
          <w:sz w:val="28"/>
        </w:rPr>
        <w:t xml:space="preserve">Карасунский</w:t>
      </w:r>
      <w:r>
        <w:rPr>
          <w:rFonts w:ascii="Times New Roman" w:hAnsi="Times New Roman" w:cs="Times New Roman"/>
          <w:sz w:val="28"/>
        </w:rPr>
        <w:t xml:space="preserve"> внутригородской округ);                                      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ул. Красная, 111, (Западный внутригородской округ). </w:t>
      </w:r>
      <w:r>
        <w:rPr>
          <w:rFonts w:ascii="Times New Roman" w:hAnsi="Times New Roman" w:cs="Times New Roman"/>
          <w:sz w:val="28"/>
        </w:rPr>
      </w:r>
    </w:p>
    <w:p>
      <w:pPr>
        <w:pStyle w:val="835"/>
        <w:ind w:firstLine="540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0" w:lineRule="atLeas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Контактный телефон</w:t>
      </w:r>
      <w:r>
        <w:rPr>
          <w:rFonts w:ascii="Times New Roman" w:hAnsi="Times New Roman" w:cs="Times New Roman"/>
          <w:sz w:val="28"/>
        </w:rPr>
        <w:t xml:space="preserve"> уполномоченного органа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2687388</w:t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835"/>
        <w:ind w:firstLine="0"/>
        <w:jc w:val="both"/>
        <w:spacing w:before="2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5"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32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3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  <w:lang w:eastAsia="ru-RU"/>
    </w:rPr>
  </w:style>
  <w:style w:type="paragraph" w:styleId="838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9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40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41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42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Бекмурзаев Арсланбий Байманбетович</dc:creator>
  <cp:revision>6</cp:revision>
  <dcterms:created xsi:type="dcterms:W3CDTF">2022-02-08T08:47:00Z</dcterms:created>
  <dcterms:modified xsi:type="dcterms:W3CDTF">2024-02-15T16:15:24Z</dcterms:modified>
</cp:coreProperties>
</file>