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 № 27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«Единая служба заказчика» требований законодательства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Российской Федерации и иных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о контрактной системе в сфере закупок товаров, работ, услуг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09.12.2024   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 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таве: Хохловой И.А. – заместителя начальника управления, заместителя руководителя комиссии; Глазкова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Е.А. – начальника отдела контроля закупок управления, заместителя руководителя комиссии;    Котовой О.Н. – заместителя начальника отдела контроля закупок управления, члена комиссии;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 44-ФЗ        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от 27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.11.202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4 № 031830057760000044 о согла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э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 xml:space="preserve">лектронного аукциона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(извещение от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14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.11.2024 № 081850000082400919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4,                                                            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243230907113823080100102020020000414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образования: «Здание дошкольной образовательной организации на 150 мест на участке с кадастровым номером 23:43:0142047:27286 по ул. Героев-Разведчиков в г. Краснодаре»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аукцион).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электронного аукциона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0818500000824009194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14.11.2024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26.11.2024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0818500000824009194-ЭА-С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по окончании срока подачи заявок на участие в закупке подана только одна заявка на участие в закупке, признанная соответствующей извещению об осуществлении закупки,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электронный аукцион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в соответствии с пунктом 1 части 1 статьи 52 Закона признан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соответствии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с пунктом 6 части 2 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25 части 1 статьи 93 Закона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обращение от 27.11.2024 № 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031830057760000044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 xml:space="preserve">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вании заключения контракта на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ыполнение работ по строительству объекта капитального строительства в сфере образования: «Здание дошкольной образовательной организации на 150 мест на участке с кадастровым номером 23:43:0142047:27286 по ул. Героев-Разведчиков в         г. Краснодаре»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«Агроснаб-Юг» (далее –        ООО «Агроснаб-Юг»).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ыполнение работ по строительству объекта капитального строительства в сфере образования: «Здание дошкольной образовательной организации на 150 мест на участке с кадастровым номером 23:43:0142047:27286 по ул. Героев-Разведчиков в г. Краснодаре»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«Агроснаб-Юг» (ИНН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2310088087</w:t>
      </w:r>
      <w:r>
        <w:rPr>
          <w:rFonts w:eastAsia="PT Astra Serif" w:cs="PT Astra Serif" w:ascii="PT Astra Serif" w:hAnsi="PT Astra Serif"/>
          <w:sz w:val="28"/>
          <w:szCs w:val="28"/>
        </w:rPr>
        <w:t>, КПП 230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9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</w:rPr>
        <w:t>01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001</w:t>
      </w:r>
      <w:r>
        <w:rPr>
          <w:rFonts w:eastAsia="PT Astra Serif" w:cs="PT Astra Serif" w:ascii="PT Astra Serif" w:hAnsi="PT Astra Serif"/>
          <w:sz w:val="28"/>
          <w:szCs w:val="28"/>
        </w:rPr>
        <w:t>; адрес: 350090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</w:rPr>
        <w:t>, Краснодарский край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г. Краснодар,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ул. им. Митрофана Седина,   д. 6/1, ком. 3)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bookmarkStart w:id="0" w:name="undefined"/>
      <w:bookmarkEnd w:id="0"/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377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 xml:space="preserve"> 420 993,17 (триста семьдесят семь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миллионов четыре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ста двадцать тысяч девятьсот девяносто три) рубля 17</w:t>
      </w:r>
      <w:bookmarkStart w:id="1" w:name="_GoBack"/>
      <w:bookmarkEnd w:id="1"/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копеек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И.А.Хохлова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Е.А.Гл</w:t>
      </w:r>
      <w:r>
        <w:rPr>
          <w:rFonts w:eastAsia="PT Astra Serif" w:cs="PT Astra Serif" w:ascii="PT Astra Serif" w:hAnsi="PT Astra Serif"/>
          <w:sz w:val="28"/>
          <w:szCs w:val="28"/>
        </w:rPr>
        <w:t>азков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0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</w:t>
        <w:tab/>
        <w:t xml:space="preserve"> О.Н.Котова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В.Н.Поляков</w:t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LibreOffice/7.6.7.2$Linux_X86_64 LibreOffice_project/60$Build-2</Application>
  <AppVersion>15.0000</AppVersion>
  <Pages>3</Pages>
  <Words>755</Words>
  <Characters>5630</Characters>
  <CharactersWithSpaces>6876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2024-12-06T16:17:05Z</cp:lastPrinted>
  <dcterms:modified xsi:type="dcterms:W3CDTF">2024-12-06T16:18:04Z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