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Pr="0053521B" w:rsidRDefault="00E22ADF" w:rsidP="00334E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FF4938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6E358B">
        <w:rPr>
          <w:rFonts w:ascii="Times New Roman" w:hAnsi="Times New Roman" w:cs="Times New Roman"/>
          <w:sz w:val="27"/>
          <w:szCs w:val="27"/>
        </w:rPr>
        <w:t>Приложение № 14</w:t>
      </w:r>
    </w:p>
    <w:p w:rsidR="00E22ADF" w:rsidRDefault="00E22ADF" w:rsidP="00334E7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         Форма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объекта контроля)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 объекта контроля)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ind w:right="-143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финансов администрации муниципального образования город Краснодар в соответствии с приказом директора департамента финансов администрации муниципального образования город Краснодар от «___</w:t>
      </w:r>
      <w:proofErr w:type="gramStart"/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20____ г. № __________, в период с ______________________ по ________________ в отношении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 контроля)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плановая (внеплановая) проверка (ревизия)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проверки (ревизии)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5E4BD8">
      <w:pPr>
        <w:widowControl w:val="0"/>
        <w:autoSpaceDE w:val="0"/>
        <w:autoSpaceDN w:val="0"/>
        <w:spacing w:after="0" w:line="240" w:lineRule="auto"/>
        <w:ind w:right="-28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(ревизии) выявлены следующие нарушения бюджетного законодательства Российской Федерации, иных нормативных правовых актов, регулирующих бюджетные правоотношения, а также условий договоров (соглашений) о предоставлении средств из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(бюджета муниципального образования город Краснодар)</w:t>
      </w: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контрактов,</w:t>
      </w:r>
      <w:r w:rsidR="005E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контрактов (договоров, соглашений), заключённых в целях исполнения указанных договоров (соглашений) и муниципальных контрактов, </w:t>
      </w: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целей, порядка и условий предоставления кредитов и займов, обеспеченных муниципальными гарантиями муниципального образования город Краснодар, целей, порядка и условий размещения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(бюджета муниципального образования город Краснодар) </w:t>
      </w: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ценные бумаги объектов контроля: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7"/>
        <w:gridCol w:w="3322"/>
        <w:gridCol w:w="5520"/>
      </w:tblGrid>
      <w:tr w:rsidR="00394FF3" w:rsidRPr="00465716" w:rsidTr="006F07CA">
        <w:tc>
          <w:tcPr>
            <w:tcW w:w="797" w:type="dxa"/>
            <w:vMerge w:val="restart"/>
          </w:tcPr>
          <w:p w:rsidR="00394FF3" w:rsidRPr="00465716" w:rsidRDefault="00394FF3" w:rsidP="006F07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2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5716">
              <w:rPr>
                <w:rFonts w:ascii="Times New Roman" w:hAnsi="Times New Roman" w:cs="Times New Roman"/>
                <w:sz w:val="28"/>
                <w:szCs w:val="28"/>
              </w:rPr>
              <w:t>Содержание нарушения</w:t>
            </w:r>
          </w:p>
        </w:tc>
        <w:tc>
          <w:tcPr>
            <w:tcW w:w="5520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F3" w:rsidRPr="00465716" w:rsidTr="006F07CA">
        <w:tc>
          <w:tcPr>
            <w:tcW w:w="797" w:type="dxa"/>
            <w:vMerge/>
          </w:tcPr>
          <w:p w:rsidR="00394FF3" w:rsidRPr="00465716" w:rsidRDefault="00394FF3" w:rsidP="006F07CA">
            <w:pPr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5716">
              <w:rPr>
                <w:rFonts w:ascii="Times New Roman" w:hAnsi="Times New Roman" w:cs="Times New Roman"/>
                <w:sz w:val="28"/>
                <w:szCs w:val="28"/>
              </w:rPr>
              <w:t>Нарушение в денежном выражении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причиненный ущерб)</w:t>
            </w:r>
          </w:p>
        </w:tc>
        <w:tc>
          <w:tcPr>
            <w:tcW w:w="5520" w:type="dxa"/>
          </w:tcPr>
          <w:p w:rsidR="00394FF3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5716">
              <w:rPr>
                <w:rFonts w:ascii="Times New Roman" w:hAnsi="Times New Roman" w:cs="Times New Roman"/>
                <w:sz w:val="28"/>
                <w:szCs w:val="28"/>
              </w:rPr>
              <w:t>графа заполняется при возможности денежного выражения нарушения</w:t>
            </w:r>
          </w:p>
          <w:p w:rsidR="00394FF3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(установления причиненного ущерба)</w:t>
            </w:r>
          </w:p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F3" w:rsidRPr="00465716" w:rsidTr="006F07CA">
        <w:tc>
          <w:tcPr>
            <w:tcW w:w="797" w:type="dxa"/>
            <w:vMerge/>
          </w:tcPr>
          <w:p w:rsidR="00394FF3" w:rsidRPr="00465716" w:rsidRDefault="00394FF3" w:rsidP="006F07CA">
            <w:pPr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5716">
              <w:rPr>
                <w:rFonts w:ascii="Times New Roman" w:hAnsi="Times New Roman" w:cs="Times New Roman"/>
                <w:sz w:val="28"/>
                <w:szCs w:val="28"/>
              </w:rPr>
              <w:t>Дата (период) совершения нарушения</w:t>
            </w:r>
          </w:p>
        </w:tc>
        <w:tc>
          <w:tcPr>
            <w:tcW w:w="5520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F3" w:rsidRPr="00465716" w:rsidTr="006F07CA">
        <w:tc>
          <w:tcPr>
            <w:tcW w:w="797" w:type="dxa"/>
            <w:vMerge/>
          </w:tcPr>
          <w:p w:rsidR="00394FF3" w:rsidRPr="00465716" w:rsidRDefault="00394FF3" w:rsidP="006F07CA">
            <w:pPr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394FF3" w:rsidRPr="00465716" w:rsidRDefault="00D14444" w:rsidP="00AE2D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Нарушенные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D28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5520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F3" w:rsidRPr="00465716" w:rsidTr="006F07CA">
        <w:tc>
          <w:tcPr>
            <w:tcW w:w="797" w:type="dxa"/>
            <w:vMerge/>
          </w:tcPr>
          <w:p w:rsidR="00394FF3" w:rsidRPr="00465716" w:rsidRDefault="00394FF3" w:rsidP="006F07CA">
            <w:pPr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5716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подтверждающих нарушение</w:t>
            </w:r>
          </w:p>
        </w:tc>
        <w:tc>
          <w:tcPr>
            <w:tcW w:w="5520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F3" w:rsidRPr="00465716" w:rsidTr="006F07CA">
        <w:tc>
          <w:tcPr>
            <w:tcW w:w="797" w:type="dxa"/>
            <w:vMerge w:val="restart"/>
          </w:tcPr>
          <w:p w:rsidR="00394FF3" w:rsidRPr="00465716" w:rsidRDefault="00394FF3" w:rsidP="006F07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2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5716">
              <w:rPr>
                <w:rFonts w:ascii="Times New Roman" w:hAnsi="Times New Roman" w:cs="Times New Roman"/>
                <w:sz w:val="28"/>
                <w:szCs w:val="28"/>
              </w:rPr>
              <w:t>Содержание нарушения</w:t>
            </w:r>
          </w:p>
        </w:tc>
        <w:tc>
          <w:tcPr>
            <w:tcW w:w="5520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F3" w:rsidRPr="00465716" w:rsidTr="006F07CA">
        <w:tc>
          <w:tcPr>
            <w:tcW w:w="797" w:type="dxa"/>
            <w:vMerge/>
          </w:tcPr>
          <w:p w:rsidR="00394FF3" w:rsidRPr="00465716" w:rsidRDefault="00394FF3" w:rsidP="006F07CA">
            <w:pPr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5716">
              <w:rPr>
                <w:rFonts w:ascii="Times New Roman" w:hAnsi="Times New Roman" w:cs="Times New Roman"/>
                <w:sz w:val="28"/>
                <w:szCs w:val="28"/>
              </w:rPr>
              <w:t>Нарушение в денежном выражении</w:t>
            </w: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(причиненный ущерб)</w:t>
            </w:r>
          </w:p>
        </w:tc>
        <w:tc>
          <w:tcPr>
            <w:tcW w:w="5520" w:type="dxa"/>
          </w:tcPr>
          <w:p w:rsidR="00394FF3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5716">
              <w:rPr>
                <w:rFonts w:ascii="Times New Roman" w:hAnsi="Times New Roman" w:cs="Times New Roman"/>
                <w:sz w:val="28"/>
                <w:szCs w:val="28"/>
              </w:rPr>
              <w:t>графа заполняется при возможности денежного выражения нарушения</w:t>
            </w:r>
          </w:p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(установления причиненного ущерба)</w:t>
            </w:r>
          </w:p>
        </w:tc>
      </w:tr>
      <w:tr w:rsidR="00394FF3" w:rsidRPr="00465716" w:rsidTr="006F07CA">
        <w:tc>
          <w:tcPr>
            <w:tcW w:w="797" w:type="dxa"/>
            <w:vMerge/>
          </w:tcPr>
          <w:p w:rsidR="00394FF3" w:rsidRPr="00465716" w:rsidRDefault="00394FF3" w:rsidP="006F07CA">
            <w:pPr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5716">
              <w:rPr>
                <w:rFonts w:ascii="Times New Roman" w:hAnsi="Times New Roman" w:cs="Times New Roman"/>
                <w:sz w:val="28"/>
                <w:szCs w:val="28"/>
              </w:rPr>
              <w:t>Дата (период) совершения нарушения</w:t>
            </w:r>
          </w:p>
        </w:tc>
        <w:tc>
          <w:tcPr>
            <w:tcW w:w="5520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F3" w:rsidRPr="00465716" w:rsidTr="006F07CA">
        <w:tc>
          <w:tcPr>
            <w:tcW w:w="797" w:type="dxa"/>
            <w:vMerge/>
          </w:tcPr>
          <w:p w:rsidR="00394FF3" w:rsidRPr="00465716" w:rsidRDefault="00394FF3" w:rsidP="006F07CA">
            <w:pPr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394FF3" w:rsidRDefault="00D14444" w:rsidP="00AE2D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Нарушенные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D28" w:rsidRPr="00465716" w:rsidRDefault="00AE2D28" w:rsidP="00AE2D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5520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F3" w:rsidRPr="00465716" w:rsidTr="006F07CA">
        <w:tc>
          <w:tcPr>
            <w:tcW w:w="797" w:type="dxa"/>
            <w:vMerge/>
          </w:tcPr>
          <w:p w:rsidR="00394FF3" w:rsidRPr="00465716" w:rsidRDefault="00394FF3" w:rsidP="006F07CA">
            <w:pPr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5716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подтверждающих нарушение</w:t>
            </w:r>
          </w:p>
        </w:tc>
        <w:tc>
          <w:tcPr>
            <w:tcW w:w="5520" w:type="dxa"/>
          </w:tcPr>
          <w:p w:rsidR="00394FF3" w:rsidRPr="00465716" w:rsidRDefault="00394FF3" w:rsidP="006F0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5E4BD8">
      <w:pPr>
        <w:widowControl w:val="0"/>
        <w:autoSpaceDE w:val="0"/>
        <w:autoSpaceDN w:val="0"/>
        <w:spacing w:after="0" w:line="240" w:lineRule="auto"/>
        <w:ind w:right="-28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финансов администрации муниципального образования город Краснодар в соответствии со статьями 269.2, 270.2 Бюджетного кодекса Российской Федерации, Порядком осуществления департаментом финансов администрации муниципального образования город Краснодар полномочий по внутреннему муниципальному финансовому контролю, утвержденным постановлением администрации муниципального образования город</w:t>
      </w:r>
      <w:r w:rsidR="005E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 от 14.12.2017 № 5907,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ТРЕБУЕТ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требования по рассмотрению информации о выявленных нарушениях, о принятии мер по устранению причин и условий их совершения или о возврате предоставленных средств местного бюджета (с указанием срока рассмотрения требования)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исполнения настоящего представления следует проинформировать департамент финансов администрации муниципального образования город Краснодар в срок до «_____» __________20____ г. (или не позднее _______ дней с даты исполнения представления).</w:t>
      </w:r>
    </w:p>
    <w:p w:rsid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444" w:rsidRPr="00394FF3" w:rsidRDefault="00D14444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</w:t>
      </w: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в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срок настоящего представления влечё</w:t>
      </w: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административную ответственность в соответствии с частью 20 статьи 19.5 Кодекса Российской Федерации об административных правонарушениях. 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представление может быть обжаловано в установленном законом порядке в суд.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объективных причин, не позволяющих выполнить представление в установленный срок _____________________ вправе направить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объект проверки (ревизии))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продле</w:t>
      </w:r>
      <w:r w:rsidR="00D14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срока исполнения представления</w:t>
      </w: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приложением подтверждающих документов.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3606CD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(заместитель директора) департамента </w:t>
      </w:r>
      <w:r w:rsidR="003606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proofErr w:type="gramStart"/>
      <w:r w:rsidR="003606CD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="003606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0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proofErr w:type="gramStart"/>
      <w:r w:rsidR="0036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="0036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3" w:rsidRPr="00394FF3" w:rsidRDefault="00394FF3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394FF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14EE" w:rsidRPr="006514EE" w:rsidSect="00B671AE">
      <w:headerReference w:type="default" r:id="rId8"/>
      <w:footnotePr>
        <w:numRestart w:val="eachPage"/>
      </w:footnotePr>
      <w:type w:val="continuous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97" w:rsidRDefault="00647D97" w:rsidP="00546D62">
      <w:pPr>
        <w:spacing w:after="0" w:line="240" w:lineRule="auto"/>
      </w:pPr>
      <w:r>
        <w:separator/>
      </w:r>
    </w:p>
  </w:endnote>
  <w:endnote w:type="continuationSeparator" w:id="0">
    <w:p w:rsidR="00647D97" w:rsidRDefault="00647D97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97" w:rsidRDefault="00647D97" w:rsidP="00546D62">
      <w:pPr>
        <w:spacing w:after="0" w:line="240" w:lineRule="auto"/>
      </w:pPr>
      <w:r>
        <w:separator/>
      </w:r>
    </w:p>
  </w:footnote>
  <w:footnote w:type="continuationSeparator" w:id="0">
    <w:p w:rsidR="00647D97" w:rsidRDefault="00647D97" w:rsidP="0054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4B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1235D"/>
    <w:rsid w:val="000344A3"/>
    <w:rsid w:val="00041605"/>
    <w:rsid w:val="00041EEB"/>
    <w:rsid w:val="000B4AFA"/>
    <w:rsid w:val="000D5247"/>
    <w:rsid w:val="000D56CC"/>
    <w:rsid w:val="001052C6"/>
    <w:rsid w:val="00112EFA"/>
    <w:rsid w:val="00146630"/>
    <w:rsid w:val="00176F11"/>
    <w:rsid w:val="00192D1A"/>
    <w:rsid w:val="00211D5C"/>
    <w:rsid w:val="00296371"/>
    <w:rsid w:val="002F06E8"/>
    <w:rsid w:val="00334E7D"/>
    <w:rsid w:val="00341975"/>
    <w:rsid w:val="003606CD"/>
    <w:rsid w:val="00365413"/>
    <w:rsid w:val="00370677"/>
    <w:rsid w:val="00394FF3"/>
    <w:rsid w:val="00396925"/>
    <w:rsid w:val="003A3FCB"/>
    <w:rsid w:val="003C7D4B"/>
    <w:rsid w:val="003F5C70"/>
    <w:rsid w:val="0042121F"/>
    <w:rsid w:val="004270BE"/>
    <w:rsid w:val="00462C69"/>
    <w:rsid w:val="00471F6D"/>
    <w:rsid w:val="00487345"/>
    <w:rsid w:val="004C5909"/>
    <w:rsid w:val="004E4626"/>
    <w:rsid w:val="0053521B"/>
    <w:rsid w:val="00541EF2"/>
    <w:rsid w:val="00545C32"/>
    <w:rsid w:val="00546D62"/>
    <w:rsid w:val="005E21E9"/>
    <w:rsid w:val="005E4BD8"/>
    <w:rsid w:val="005F155D"/>
    <w:rsid w:val="006024DE"/>
    <w:rsid w:val="00641AB4"/>
    <w:rsid w:val="00647D97"/>
    <w:rsid w:val="006514EE"/>
    <w:rsid w:val="006555CC"/>
    <w:rsid w:val="0068121D"/>
    <w:rsid w:val="0069689D"/>
    <w:rsid w:val="006D0B65"/>
    <w:rsid w:val="006E358B"/>
    <w:rsid w:val="0074129B"/>
    <w:rsid w:val="0075198F"/>
    <w:rsid w:val="00753D0A"/>
    <w:rsid w:val="007737DB"/>
    <w:rsid w:val="007F25A3"/>
    <w:rsid w:val="007F6CA5"/>
    <w:rsid w:val="00800953"/>
    <w:rsid w:val="008107F2"/>
    <w:rsid w:val="00835AD7"/>
    <w:rsid w:val="00840989"/>
    <w:rsid w:val="0084581D"/>
    <w:rsid w:val="00871B31"/>
    <w:rsid w:val="008D64BC"/>
    <w:rsid w:val="00905FDE"/>
    <w:rsid w:val="00907A02"/>
    <w:rsid w:val="00982ADD"/>
    <w:rsid w:val="00A056A5"/>
    <w:rsid w:val="00A16304"/>
    <w:rsid w:val="00AB33C5"/>
    <w:rsid w:val="00AB53F7"/>
    <w:rsid w:val="00AB541E"/>
    <w:rsid w:val="00AE2D28"/>
    <w:rsid w:val="00AE4165"/>
    <w:rsid w:val="00B066D5"/>
    <w:rsid w:val="00B31BC8"/>
    <w:rsid w:val="00B36FCC"/>
    <w:rsid w:val="00B671AE"/>
    <w:rsid w:val="00B87449"/>
    <w:rsid w:val="00B94DEA"/>
    <w:rsid w:val="00BA7353"/>
    <w:rsid w:val="00BC3631"/>
    <w:rsid w:val="00BE5FEB"/>
    <w:rsid w:val="00C20B84"/>
    <w:rsid w:val="00C5359F"/>
    <w:rsid w:val="00C62A7B"/>
    <w:rsid w:val="00C660EC"/>
    <w:rsid w:val="00CC5BA8"/>
    <w:rsid w:val="00CD2F46"/>
    <w:rsid w:val="00D14444"/>
    <w:rsid w:val="00D4179A"/>
    <w:rsid w:val="00D76CB7"/>
    <w:rsid w:val="00D91620"/>
    <w:rsid w:val="00DD3A59"/>
    <w:rsid w:val="00DE1C13"/>
    <w:rsid w:val="00E1305D"/>
    <w:rsid w:val="00E22ADF"/>
    <w:rsid w:val="00E357CE"/>
    <w:rsid w:val="00E53FBB"/>
    <w:rsid w:val="00E63978"/>
    <w:rsid w:val="00E74EB6"/>
    <w:rsid w:val="00E950DF"/>
    <w:rsid w:val="00EE1C77"/>
    <w:rsid w:val="00EF3A4F"/>
    <w:rsid w:val="00F2368A"/>
    <w:rsid w:val="00F63707"/>
    <w:rsid w:val="00FF4938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B2E8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customStyle="1" w:styleId="ConsPlusNormal">
    <w:name w:val="ConsPlusNormal"/>
    <w:rsid w:val="006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7C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34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C791-68F3-41BA-9A29-CD71E0CC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9</cp:revision>
  <cp:lastPrinted>2019-06-18T09:19:00Z</cp:lastPrinted>
  <dcterms:created xsi:type="dcterms:W3CDTF">2019-05-24T06:43:00Z</dcterms:created>
  <dcterms:modified xsi:type="dcterms:W3CDTF">2019-06-18T09:22:00Z</dcterms:modified>
</cp:coreProperties>
</file>