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500C0D">
        <w:t xml:space="preserve">от </w:t>
      </w:r>
      <w:r w:rsidR="00DC201A">
        <w:t>21.01.2026 № 240</w:t>
      </w:r>
      <w:r w:rsidR="00D55281" w:rsidRPr="009D6579">
        <w:t xml:space="preserve"> </w:t>
      </w:r>
      <w:r w:rsidR="008B220A" w:rsidRPr="009D6579">
        <w:t>«</w:t>
      </w:r>
      <w:r w:rsidR="00A82E87" w:rsidRPr="009D6579">
        <w:t>О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DC201A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DC201A" w:rsidRPr="00DC201A">
        <w:t>–</w:t>
      </w:r>
      <w:r w:rsidRPr="00DC201A">
        <w:t xml:space="preserve"> </w:t>
      </w:r>
      <w:r w:rsidR="00DC201A" w:rsidRPr="00DC201A">
        <w:t>30.01.2026</w:t>
      </w:r>
      <w:r w:rsidRPr="00DC201A">
        <w:t xml:space="preserve"> в 09:00 по московскому времени.</w:t>
      </w:r>
    </w:p>
    <w:p w:rsidR="00D521A3" w:rsidRPr="00DC201A" w:rsidRDefault="00D521A3" w:rsidP="00D521A3">
      <w:pPr>
        <w:ind w:firstLine="709"/>
        <w:jc w:val="both"/>
      </w:pPr>
      <w:r w:rsidRPr="00DC201A">
        <w:t xml:space="preserve">Дата и время окончания приема заявок </w:t>
      </w:r>
      <w:r w:rsidR="00DC201A" w:rsidRPr="00DC201A">
        <w:t>–</w:t>
      </w:r>
      <w:r w:rsidRPr="00DC201A">
        <w:t xml:space="preserve"> </w:t>
      </w:r>
      <w:r w:rsidR="00DC201A" w:rsidRPr="00DC201A">
        <w:t>16.02.2026</w:t>
      </w:r>
      <w:r w:rsidRPr="00DC201A">
        <w:t xml:space="preserve"> в 10:00 по московскому времени.</w:t>
      </w:r>
    </w:p>
    <w:p w:rsidR="00D521A3" w:rsidRPr="00DC201A" w:rsidRDefault="00D521A3" w:rsidP="00D521A3">
      <w:pPr>
        <w:ind w:firstLine="709"/>
        <w:jc w:val="both"/>
      </w:pPr>
      <w:r w:rsidRPr="00DC201A">
        <w:t xml:space="preserve">Дата рассмотрения заявок, определение участников электронного аукциона </w:t>
      </w:r>
      <w:r w:rsidR="00DC201A" w:rsidRPr="00DC201A">
        <w:t>–</w:t>
      </w:r>
      <w:r w:rsidRPr="00DC201A">
        <w:t xml:space="preserve"> </w:t>
      </w:r>
      <w:r w:rsidR="00DC201A" w:rsidRPr="00DC201A">
        <w:t>17.02.2026</w:t>
      </w:r>
      <w:r w:rsidRPr="00DC201A">
        <w:t>.</w:t>
      </w:r>
    </w:p>
    <w:p w:rsidR="00D521A3" w:rsidRPr="00500C0D" w:rsidRDefault="00D521A3" w:rsidP="00D521A3">
      <w:pPr>
        <w:ind w:firstLine="709"/>
        <w:jc w:val="both"/>
      </w:pPr>
      <w:r w:rsidRPr="00DC201A">
        <w:t xml:space="preserve">Дата и время проведения электронного аукциона </w:t>
      </w:r>
      <w:r w:rsidR="00DC201A" w:rsidRPr="00DC201A">
        <w:t>–</w:t>
      </w:r>
      <w:r w:rsidRPr="00DC201A">
        <w:t xml:space="preserve"> </w:t>
      </w:r>
      <w:r w:rsidR="00DC201A" w:rsidRPr="00DC201A">
        <w:t>2</w:t>
      </w:r>
      <w:r w:rsidR="00963DFF">
        <w:t>4</w:t>
      </w:r>
      <w:bookmarkStart w:id="0" w:name="_GoBack"/>
      <w:bookmarkEnd w:id="0"/>
      <w:r w:rsidR="00DC201A" w:rsidRPr="00DC201A">
        <w:t>.02.2026</w:t>
      </w:r>
      <w:r w:rsidRPr="00DC201A">
        <w:t xml:space="preserve"> в 10:00 по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9D6579">
        <w:rPr>
          <w:b/>
        </w:rPr>
        <w:t>4.1 о дате размещения извещения в соответствии с подпунктом 1 пункта 1 статьи 39.18 настоящего Кодекса.</w:t>
      </w:r>
    </w:p>
    <w:p w:rsidR="001D5B5D" w:rsidRPr="00910414" w:rsidRDefault="001D5B5D" w:rsidP="001D5B5D">
      <w:pPr>
        <w:ind w:firstLine="709"/>
        <w:jc w:val="both"/>
      </w:pPr>
      <w:r>
        <w:t xml:space="preserve">Дата размещения: </w:t>
      </w:r>
      <w:r w:rsidR="00AC30C6">
        <w:t>08</w:t>
      </w:r>
      <w:r>
        <w:t xml:space="preserve"> </w:t>
      </w:r>
      <w:r w:rsidR="00AC30C6">
        <w:t>августа</w:t>
      </w:r>
      <w:r w:rsidRPr="001077BE">
        <w:t xml:space="preserve"> 202</w:t>
      </w:r>
      <w:r w:rsidR="00AC30C6">
        <w:t>3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C20CDD" w:rsidRDefault="00834CAE" w:rsidP="00960643">
      <w:pPr>
        <w:suppressAutoHyphens/>
        <w:ind w:firstLine="709"/>
        <w:jc w:val="both"/>
        <w:rPr>
          <w:spacing w:val="-2"/>
        </w:rPr>
      </w:pPr>
      <w:r>
        <w:rPr>
          <w:b/>
          <w:spacing w:val="-2"/>
        </w:rPr>
        <w:t>ЛОТ № 1</w:t>
      </w:r>
      <w:r w:rsidR="00C254BF" w:rsidRPr="00621C4B">
        <w:rPr>
          <w:b/>
          <w:spacing w:val="-2"/>
        </w:rPr>
        <w:t>0</w:t>
      </w:r>
      <w:r w:rsidR="0003552E">
        <w:rPr>
          <w:b/>
          <w:spacing w:val="-2"/>
        </w:rPr>
        <w:t>7</w:t>
      </w:r>
      <w:r w:rsidR="00FB3D3E">
        <w:rPr>
          <w:b/>
          <w:spacing w:val="-2"/>
        </w:rPr>
        <w:t>1</w:t>
      </w:r>
      <w:r w:rsidR="00C254BF" w:rsidRPr="00621C4B">
        <w:rPr>
          <w:b/>
          <w:spacing w:val="-2"/>
        </w:rPr>
        <w:t xml:space="preserve">-З </w:t>
      </w:r>
      <w:r w:rsidR="005273A8" w:rsidRPr="005273A8">
        <w:rPr>
          <w:spacing w:val="-2"/>
        </w:rPr>
        <w:t xml:space="preserve">Право заключения договора аренды земельного </w:t>
      </w:r>
      <w:r w:rsidR="00772EED">
        <w:rPr>
          <w:spacing w:val="-2"/>
        </w:rPr>
        <w:t xml:space="preserve">                  </w:t>
      </w:r>
      <w:r w:rsidR="005273A8" w:rsidRPr="005273A8">
        <w:rPr>
          <w:spacing w:val="-2"/>
        </w:rPr>
        <w:t xml:space="preserve">участка, расположенного по адресу: </w:t>
      </w:r>
      <w:r w:rsidR="00FB3D3E" w:rsidRPr="00FB3D3E">
        <w:rPr>
          <w:spacing w:val="-2"/>
        </w:rPr>
        <w:t>Российская Федерация, Краснодарский край, городской округ город Краснодар, ст-ца Старокорсунская, пер. Линейный, з/у 25</w:t>
      </w:r>
      <w:r w:rsidR="001D5B5D" w:rsidRPr="00C20CDD">
        <w:rPr>
          <w:spacing w:val="-2"/>
        </w:rPr>
        <w:t xml:space="preserve">, площадь </w:t>
      </w:r>
      <w:r w:rsidR="00FB3D3E">
        <w:rPr>
          <w:spacing w:val="-2"/>
        </w:rPr>
        <w:t>931</w:t>
      </w:r>
      <w:r w:rsidR="001D5B5D" w:rsidRPr="00C20CDD">
        <w:rPr>
          <w:spacing w:val="-2"/>
        </w:rPr>
        <w:t xml:space="preserve"> кв.м, форма собственности: неразграниченная, категория земель: земли населённых пунктов, с кадастровым номером 23:43:</w:t>
      </w:r>
      <w:r w:rsidR="00FB3D3E">
        <w:rPr>
          <w:spacing w:val="-2"/>
        </w:rPr>
        <w:t>0434001:4427</w:t>
      </w:r>
      <w:r w:rsidR="00C254BF" w:rsidRPr="00C20CDD">
        <w:rPr>
          <w:spacing w:val="-2"/>
        </w:rPr>
        <w:t>.</w:t>
      </w:r>
    </w:p>
    <w:p w:rsidR="00C254BF" w:rsidRPr="00C20CDD" w:rsidRDefault="00C254BF" w:rsidP="00960643">
      <w:pPr>
        <w:suppressAutoHyphens/>
        <w:ind w:firstLine="709"/>
        <w:jc w:val="both"/>
        <w:rPr>
          <w:spacing w:val="-2"/>
        </w:rPr>
      </w:pPr>
      <w:r w:rsidRPr="00C20CDD">
        <w:rPr>
          <w:spacing w:val="-2"/>
        </w:rPr>
        <w:t xml:space="preserve">Разрешённое использование земельного участка: </w:t>
      </w:r>
      <w:r w:rsidR="00443A91" w:rsidRPr="00C20CDD">
        <w:rPr>
          <w:spacing w:val="-2"/>
        </w:rPr>
        <w:t>Для индивидуального жилищного строительства</w:t>
      </w:r>
      <w:r w:rsidRPr="00C20CDD">
        <w:rPr>
          <w:spacing w:val="-2"/>
        </w:rPr>
        <w:t>.</w:t>
      </w:r>
    </w:p>
    <w:p w:rsidR="002158D2" w:rsidRPr="009E35FC" w:rsidRDefault="002158D2" w:rsidP="005D20E4">
      <w:pPr>
        <w:suppressAutoHyphens/>
        <w:ind w:firstLine="709"/>
        <w:jc w:val="both"/>
        <w:rPr>
          <w:spacing w:val="-2"/>
        </w:rPr>
      </w:pPr>
      <w:r w:rsidRPr="00632BBE">
        <w:rPr>
          <w:spacing w:val="-2"/>
        </w:rPr>
        <w:t xml:space="preserve">Земельный участок расположен в границах с особым условием использования территории: </w:t>
      </w:r>
      <w:r w:rsidR="005D20E4" w:rsidRPr="00721762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</w:t>
      </w:r>
      <w:r w:rsidR="00C904DE" w:rsidRPr="00721762">
        <w:rPr>
          <w:spacing w:val="-2"/>
        </w:rPr>
        <w:t xml:space="preserve"> в подзоне № 3 части 1 (сектор 1 часть 1), в подзоне № 4 части 18 (секторы 8 части 1, 27, 45), в подзоне № 5 части 1, в подзоне № 6 части 1</w:t>
      </w:r>
      <w:r w:rsidR="005D20E4" w:rsidRPr="00721762">
        <w:rPr>
          <w:spacing w:val="-2"/>
        </w:rPr>
        <w:t>, ориентировочно расположен в приаэродромной территории аэ</w:t>
      </w:r>
      <w:r w:rsidR="00772EED" w:rsidRPr="00721762">
        <w:rPr>
          <w:spacing w:val="-2"/>
        </w:rPr>
        <w:t>р</w:t>
      </w:r>
      <w:r w:rsidR="00AC30C6" w:rsidRPr="00721762">
        <w:rPr>
          <w:spacing w:val="-2"/>
        </w:rPr>
        <w:t>одрома Краснодар (Центральный),</w:t>
      </w:r>
      <w:r w:rsidR="00F3459E" w:rsidRPr="00721762">
        <w:rPr>
          <w:spacing w:val="-2"/>
        </w:rPr>
        <w:t xml:space="preserve"> </w:t>
      </w:r>
      <w:r w:rsidR="00C904DE" w:rsidRPr="00721762">
        <w:rPr>
          <w:spacing w:val="-2"/>
        </w:rPr>
        <w:t>полностью расположен в 3 поясе зоны санитарной охраны проектируемой артезианской скважины № 1п для водоснабжения коттеджного поселка «Зябликово», частично расположен в охранной зоне газопровода низкого давления.</w:t>
      </w:r>
    </w:p>
    <w:p w:rsidR="004E47DF" w:rsidRPr="009E35FC" w:rsidRDefault="009157ED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D078E" w:rsidRPr="009E35FC" w:rsidRDefault="005D078E" w:rsidP="005D078E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5D078E" w:rsidRPr="009E35FC" w:rsidRDefault="005D078E" w:rsidP="005D078E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5D078E" w:rsidRPr="009E35FC" w:rsidRDefault="005D078E" w:rsidP="005D078E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 xml:space="preserve"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</w:t>
      </w:r>
      <w:r w:rsidRPr="009E35FC">
        <w:rPr>
          <w:spacing w:val="-2"/>
        </w:rPr>
        <w:lastRenderedPageBreak/>
        <w:t>земельных участков, а от границ земельных участков со стороны, примыкающей к улично-дорожной сети не менее 3 м.</w:t>
      </w:r>
    </w:p>
    <w:p w:rsidR="005D078E" w:rsidRPr="009E35FC" w:rsidRDefault="005D078E" w:rsidP="005D078E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 xml:space="preserve">Для гаражей: 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от границ смежных земельных участков – 1 м;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от границ земельных участков со стороны, примыкающей к улично-дорожной сети – 0 м.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Другие вспомогательные сооружения: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от границ смежных земельных участков – 1 м;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от границ земельных участков со стороны, примыкающей к улично-дорожной сети – 3 м.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(до 15.02.2007)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 xml:space="preserve"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</w:t>
      </w:r>
      <w:r w:rsidRPr="009E35FC">
        <w:rPr>
          <w:spacing w:val="-2"/>
        </w:rPr>
        <w:lastRenderedPageBreak/>
        <w:t>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Максимальное количество надземных этажей для зданий, строений и сооружений вспомогательного использования – 1.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Максимальная высота зданий, строений и сооружений (за исключением строений и сооружений вспомогательного использования) – 20 м.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6948E3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Минимальный процент озеленения земельного участка – 15 %.</w:t>
      </w:r>
    </w:p>
    <w:p w:rsidR="005D078E" w:rsidRPr="009E35FC" w:rsidRDefault="006948E3" w:rsidP="006948E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Максимальное количество объектов индивидуального жилищного строительства на одном земельном участке – 2.</w:t>
      </w:r>
    </w:p>
    <w:p w:rsidR="00DC201A" w:rsidRPr="00DC201A" w:rsidRDefault="00C254BF" w:rsidP="00DC201A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 w:rsidRPr="009E35FC">
        <w:rPr>
          <w:spacing w:val="-2"/>
        </w:rPr>
        <w:t xml:space="preserve"> </w:t>
      </w:r>
      <w:r w:rsidR="00332BDD" w:rsidRPr="009E35FC">
        <w:rPr>
          <w:spacing w:val="-2"/>
        </w:rPr>
        <w:t> </w:t>
      </w:r>
      <w:r w:rsidR="00DC201A" w:rsidRPr="00DC201A">
        <w:rPr>
          <w:spacing w:val="-2"/>
        </w:rPr>
        <w:t>1 598 060 руб. 00 коп.</w:t>
      </w:r>
    </w:p>
    <w:p w:rsidR="00DC201A" w:rsidRPr="00DC201A" w:rsidRDefault="00DC201A" w:rsidP="00DC201A">
      <w:pPr>
        <w:suppressAutoHyphens/>
        <w:ind w:firstLine="709"/>
        <w:jc w:val="both"/>
        <w:rPr>
          <w:spacing w:val="-2"/>
        </w:rPr>
      </w:pPr>
      <w:r w:rsidRPr="00DC201A">
        <w:rPr>
          <w:spacing w:val="-2"/>
        </w:rPr>
        <w:t>Шаг аукциона – 79 903 руб. 00 коп.</w:t>
      </w:r>
    </w:p>
    <w:p w:rsidR="00C254BF" w:rsidRPr="009E35FC" w:rsidRDefault="00DC201A" w:rsidP="00DC201A">
      <w:pPr>
        <w:suppressAutoHyphens/>
        <w:ind w:firstLine="709"/>
        <w:jc w:val="both"/>
        <w:rPr>
          <w:spacing w:val="-2"/>
        </w:rPr>
      </w:pPr>
      <w:r w:rsidRPr="00DC201A">
        <w:rPr>
          <w:spacing w:val="-2"/>
        </w:rPr>
        <w:t>Сумма задатка – 1 438 254 руб. 00 коп</w:t>
      </w:r>
      <w:r w:rsidR="00C254BF" w:rsidRPr="009E35FC">
        <w:rPr>
          <w:spacing w:val="-2"/>
        </w:rPr>
        <w:t>.</w:t>
      </w:r>
    </w:p>
    <w:p w:rsidR="00611543" w:rsidRPr="009E35FC" w:rsidRDefault="00240C35" w:rsidP="0036546A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Срок аренды 20 лет.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6.1</w:t>
      </w:r>
      <w:r w:rsidR="00C254BF" w:rsidRPr="009E35FC">
        <w:rPr>
          <w:spacing w:val="-2"/>
        </w:rPr>
        <w:t>. Иные условия договора аренды: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</w:t>
      </w:r>
      <w:r w:rsidR="00D36D32" w:rsidRPr="009E35FC">
        <w:rPr>
          <w:spacing w:val="-2"/>
        </w:rPr>
        <w:t>.2</w:t>
      </w:r>
      <w:r w:rsidR="00C254BF" w:rsidRPr="009E35FC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9E35FC" w:rsidRDefault="00C254BF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9E35FC" w:rsidRDefault="00C254BF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</w:t>
      </w:r>
      <w:r w:rsidR="00D36D32" w:rsidRPr="009E35FC">
        <w:rPr>
          <w:spacing w:val="-2"/>
        </w:rPr>
        <w:t>.3</w:t>
      </w:r>
      <w:r w:rsidR="00C254BF" w:rsidRPr="009E35FC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9E35FC" w:rsidRDefault="00A209E1" w:rsidP="00F1278C">
      <w:pPr>
        <w:suppressAutoHyphens/>
        <w:ind w:firstLine="709"/>
        <w:jc w:val="both"/>
        <w:rPr>
          <w:spacing w:val="-2"/>
        </w:rPr>
      </w:pPr>
      <w:r w:rsidRPr="00632BBE">
        <w:rPr>
          <w:spacing w:val="-2"/>
        </w:rPr>
        <w:t>6</w:t>
      </w:r>
      <w:r w:rsidR="00D36D32" w:rsidRPr="00632BBE">
        <w:rPr>
          <w:spacing w:val="-2"/>
        </w:rPr>
        <w:t>.4</w:t>
      </w:r>
      <w:r w:rsidR="00C254BF" w:rsidRPr="00632BBE">
        <w:rPr>
          <w:spacing w:val="-2"/>
        </w:rPr>
        <w:t xml:space="preserve">. </w:t>
      </w:r>
      <w:r w:rsidR="002158D2" w:rsidRPr="00632BBE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в границах с особым условием использования территории: </w:t>
      </w:r>
      <w:r w:rsidR="00571DB5" w:rsidRPr="00721762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 в подзоне </w:t>
      </w:r>
      <w:r w:rsidR="00571DB5" w:rsidRPr="00721762">
        <w:rPr>
          <w:spacing w:val="-2"/>
        </w:rPr>
        <w:lastRenderedPageBreak/>
        <w:t>№ 3 части 1 (сектор 1 часть 1), в подзоне № 4 части 18 (секторы 8 части 1, 27, 45), в подзоне № 5 части 1, в подзоне № 6 части 1, ориентировочно расположен в приаэродромной территории аэродрома Краснодар (Центральный), полностью расположен в 3 поясе зоны санитарной охраны проектируемой артезианской скважины № 1п для водоснабжения коттеджного поселка «Зябликово», частично расположен в охранной зоне газопровода низкого давления.</w:t>
      </w:r>
    </w:p>
    <w:p w:rsidR="00C254BF" w:rsidRPr="009E35FC" w:rsidRDefault="00A209E1" w:rsidP="00960643">
      <w:pPr>
        <w:suppressAutoHyphens/>
        <w:ind w:firstLine="709"/>
        <w:jc w:val="both"/>
        <w:rPr>
          <w:spacing w:val="-2"/>
        </w:rPr>
      </w:pPr>
      <w:r w:rsidRPr="009E35FC">
        <w:rPr>
          <w:spacing w:val="-2"/>
        </w:rPr>
        <w:t>6</w:t>
      </w:r>
      <w:r w:rsidR="006B6DBA" w:rsidRPr="009E35FC">
        <w:rPr>
          <w:spacing w:val="-2"/>
        </w:rPr>
        <w:t>.5</w:t>
      </w:r>
      <w:r w:rsidR="00C254BF" w:rsidRPr="009E35FC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8D70A9" w:rsidRPr="00721762" w:rsidRDefault="008D70A9" w:rsidP="008D70A9">
      <w:pPr>
        <w:suppressAutoHyphens/>
        <w:ind w:firstLine="709"/>
        <w:jc w:val="both"/>
        <w:rPr>
          <w:spacing w:val="-2"/>
        </w:rPr>
      </w:pPr>
      <w:r w:rsidRPr="00721762">
        <w:rPr>
          <w:spacing w:val="-2"/>
        </w:rPr>
        <w:t xml:space="preserve">1) Водоснабжение объекта. </w:t>
      </w:r>
      <w:r w:rsidRPr="00721762">
        <w:t>Согласно информации</w:t>
      </w:r>
      <w:r w:rsidR="00B03C19" w:rsidRPr="00721762">
        <w:t xml:space="preserve"> </w:t>
      </w:r>
      <w:r w:rsidR="002B79B2" w:rsidRPr="00721762">
        <w:t xml:space="preserve">МУП ЖКХ «Корсунское» </w:t>
      </w:r>
      <w:r w:rsidR="00B03C19" w:rsidRPr="00721762">
        <w:t xml:space="preserve">техническая возможность подключения </w:t>
      </w:r>
      <w:r w:rsidR="002B79B2" w:rsidRPr="00721762">
        <w:t>отсутствует</w:t>
      </w:r>
      <w:r w:rsidRPr="00721762">
        <w:rPr>
          <w:spacing w:val="-2"/>
        </w:rPr>
        <w:t>.</w:t>
      </w:r>
    </w:p>
    <w:p w:rsidR="002B79B2" w:rsidRPr="00721762" w:rsidRDefault="008D70A9" w:rsidP="002B79B2">
      <w:pPr>
        <w:suppressAutoHyphens/>
        <w:ind w:firstLine="709"/>
        <w:jc w:val="both"/>
      </w:pPr>
      <w:r w:rsidRPr="00721762">
        <w:rPr>
          <w:spacing w:val="-2"/>
        </w:rPr>
        <w:t xml:space="preserve">2) </w:t>
      </w:r>
      <w:r w:rsidRPr="00721762">
        <w:t xml:space="preserve">Водоотведение объекта. </w:t>
      </w:r>
      <w:r w:rsidR="002B79B2" w:rsidRPr="00721762">
        <w:t>Согласно информации градостроительного плана земельного участка возможность подключения (технологического присоединения) объектов капитального строительства к сетям водоотведения, а также сведения об организации, предоставившей данную информацию, отсутствует.</w:t>
      </w:r>
    </w:p>
    <w:p w:rsidR="00B03C19" w:rsidRPr="00721762" w:rsidRDefault="008D70A9" w:rsidP="008D70A9">
      <w:pPr>
        <w:suppressAutoHyphens/>
        <w:ind w:firstLine="709"/>
        <w:jc w:val="both"/>
      </w:pPr>
      <w:r w:rsidRPr="00721762">
        <w:rPr>
          <w:spacing w:val="-2"/>
        </w:rPr>
        <w:t xml:space="preserve">3) </w:t>
      </w:r>
      <w:r w:rsidRPr="00721762">
        <w:t xml:space="preserve">Теплоснабжение объекта. </w:t>
      </w:r>
      <w:r w:rsidR="00CA3F26" w:rsidRPr="00721762">
        <w:t>Согласно информации градостроительного плана земельного участка возможность подключения (технологического присоединения) объектов капитального строительства к сетям теплоснабжения, а также сведения об организации, предоставившей данную информацию, отсутствует.</w:t>
      </w:r>
    </w:p>
    <w:p w:rsidR="006850C1" w:rsidRPr="002B79B2" w:rsidRDefault="008D70A9" w:rsidP="008D70A9">
      <w:pPr>
        <w:suppressAutoHyphens/>
        <w:ind w:firstLine="709"/>
        <w:jc w:val="both"/>
      </w:pPr>
      <w:r w:rsidRPr="00721762">
        <w:rPr>
          <w:spacing w:val="-2"/>
        </w:rPr>
        <w:t xml:space="preserve">4) </w:t>
      </w:r>
      <w:r w:rsidRPr="00721762">
        <w:t>Газоснабжение объекта</w:t>
      </w:r>
      <w:r w:rsidRPr="00721762">
        <w:rPr>
          <w:spacing w:val="-2"/>
        </w:rPr>
        <w:t xml:space="preserve">. </w:t>
      </w:r>
      <w:r w:rsidRPr="00721762">
        <w:t xml:space="preserve">Согласно информации АО «Краснодаргоргаз» </w:t>
      </w:r>
      <w:r w:rsidR="00B03C19" w:rsidRPr="00721762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 w:rsidRPr="00C20CDD">
        <w:rPr>
          <w:spacing w:val="-2"/>
        </w:rPr>
        <w:t>6</w:t>
      </w:r>
      <w:r w:rsidR="006B6DBA" w:rsidRPr="00C20CDD">
        <w:rPr>
          <w:spacing w:val="-2"/>
        </w:rPr>
        <w:t>.6</w:t>
      </w:r>
      <w:r w:rsidR="00C254BF" w:rsidRPr="00C20CDD">
        <w:rPr>
          <w:spacing w:val="-2"/>
        </w:rPr>
        <w:t>. В месячный срок с момента подписания договора аренды обратиться в</w:t>
      </w:r>
      <w:r w:rsidR="00C254BF" w:rsidRPr="001969B0">
        <w:rPr>
          <w:spacing w:val="-2"/>
        </w:rPr>
        <w:t xml:space="preserve">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 xml:space="preserve"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</w:t>
      </w:r>
      <w:r w:rsidRPr="00D36D32">
        <w:rPr>
          <w:spacing w:val="-2"/>
        </w:rPr>
        <w:lastRenderedPageBreak/>
        <w:t>зарегистрированных (аккредитованных) Продавцов/Претендентов и размещенная в сети «Интернет» по адресу: https://178fz.roseltorg.ru.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lastRenderedPageBreak/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 xml:space="preserve">ЗК РФ и другими федеральными законами не имеет права быть участником </w:t>
      </w:r>
      <w:r w:rsidRPr="005705F5">
        <w:rPr>
          <w:spacing w:val="-2"/>
        </w:rPr>
        <w:lastRenderedPageBreak/>
        <w:t>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</w:t>
      </w:r>
      <w:r w:rsidRPr="009D6579">
        <w:rPr>
          <w:spacing w:val="-2"/>
        </w:rPr>
        <w:lastRenderedPageBreak/>
        <w:t>20 или 25 настоящей статьи и которые уклонились от их заключения, включаются в реестр недобросовестных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571DB5" w:rsidRDefault="00571DB5" w:rsidP="00960643">
      <w:pPr>
        <w:suppressAutoHyphens/>
        <w:ind w:firstLine="709"/>
        <w:jc w:val="both"/>
        <w:rPr>
          <w:b/>
          <w:spacing w:val="-2"/>
        </w:rPr>
      </w:pP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lastRenderedPageBreak/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</w:t>
      </w:r>
      <w:r w:rsidRPr="00C43425">
        <w:rPr>
          <w:spacing w:val="-2"/>
        </w:rPr>
        <w:lastRenderedPageBreak/>
        <w:t xml:space="preserve">проведении процедуры аукциона, выдаёт предупреждение и отклоняет такое ценовое предложение. При подтверждении вводимой информации АС 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</w:t>
      </w:r>
      <w:r w:rsidRPr="00D05C0E">
        <w:lastRenderedPageBreak/>
        <w:t xml:space="preserve">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дням </w:t>
      </w:r>
      <w:r w:rsidR="00DC201A">
        <w:t>с 30.01.2026 до 16.02.2026</w:t>
      </w:r>
      <w:r w:rsidR="000243DB" w:rsidRPr="00AA4F71">
        <w:t xml:space="preserve"> </w:t>
      </w:r>
      <w:r w:rsidR="000243DB" w:rsidRPr="00D05C0E">
        <w:t>(в период приема заявок)</w:t>
      </w:r>
      <w:r w:rsidRPr="00D05C0E">
        <w:t xml:space="preserve"> по адресу: г. Краснодар, ул. </w:t>
      </w:r>
      <w:r w:rsidR="00240C35">
        <w:t>Северная,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CA3F26" w:rsidRDefault="00CA3F26" w:rsidP="00960643">
      <w:pPr>
        <w:suppressAutoHyphens/>
        <w:ind w:firstLine="709"/>
        <w:jc w:val="both"/>
      </w:pPr>
    </w:p>
    <w:p w:rsidR="00A82E87" w:rsidRPr="00A82E87" w:rsidRDefault="00A82E87" w:rsidP="00A82E87">
      <w:pPr>
        <w:suppressAutoHyphens/>
        <w:ind w:firstLine="709"/>
        <w:jc w:val="center"/>
        <w:rPr>
          <w:b/>
        </w:rPr>
      </w:pPr>
      <w:r w:rsidRPr="00A82E87">
        <w:rPr>
          <w:b/>
        </w:rPr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CA3F26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571DB5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16" w:rsidRDefault="00085416" w:rsidP="00647C9A">
      <w:r>
        <w:separator/>
      </w:r>
    </w:p>
  </w:endnote>
  <w:endnote w:type="continuationSeparator" w:id="0">
    <w:p w:rsidR="00085416" w:rsidRDefault="00085416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16" w:rsidRDefault="00085416" w:rsidP="00647C9A">
      <w:r>
        <w:separator/>
      </w:r>
    </w:p>
  </w:footnote>
  <w:footnote w:type="continuationSeparator" w:id="0">
    <w:p w:rsidR="00085416" w:rsidRDefault="00085416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63DF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552E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85416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9B2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17C5E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047A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C0F3C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58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C5A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1DB5"/>
    <w:rsid w:val="00573B5C"/>
    <w:rsid w:val="0057627B"/>
    <w:rsid w:val="0058022A"/>
    <w:rsid w:val="00580573"/>
    <w:rsid w:val="00581557"/>
    <w:rsid w:val="005818E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09EB"/>
    <w:rsid w:val="005F1106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2BBE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42F6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64C4"/>
    <w:rsid w:val="0068699D"/>
    <w:rsid w:val="00691B2C"/>
    <w:rsid w:val="00692E71"/>
    <w:rsid w:val="006932C6"/>
    <w:rsid w:val="00693774"/>
    <w:rsid w:val="006946F7"/>
    <w:rsid w:val="006948E3"/>
    <w:rsid w:val="00694E8D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7099"/>
    <w:rsid w:val="006F19E2"/>
    <w:rsid w:val="006F20CA"/>
    <w:rsid w:val="006F2736"/>
    <w:rsid w:val="006F4E77"/>
    <w:rsid w:val="00700769"/>
    <w:rsid w:val="00701D66"/>
    <w:rsid w:val="00701EE2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1762"/>
    <w:rsid w:val="007231D6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46BA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802C73"/>
    <w:rsid w:val="00803198"/>
    <w:rsid w:val="008103C1"/>
    <w:rsid w:val="00810F59"/>
    <w:rsid w:val="00813F38"/>
    <w:rsid w:val="00814905"/>
    <w:rsid w:val="00814BC9"/>
    <w:rsid w:val="008151BB"/>
    <w:rsid w:val="00820CDD"/>
    <w:rsid w:val="008211A2"/>
    <w:rsid w:val="008212D4"/>
    <w:rsid w:val="008223C5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47DE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28A7"/>
    <w:rsid w:val="00954111"/>
    <w:rsid w:val="00955F30"/>
    <w:rsid w:val="009571D5"/>
    <w:rsid w:val="00957807"/>
    <w:rsid w:val="00960643"/>
    <w:rsid w:val="00962808"/>
    <w:rsid w:val="009638A2"/>
    <w:rsid w:val="00963DFF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0116"/>
    <w:rsid w:val="009A2143"/>
    <w:rsid w:val="009A3279"/>
    <w:rsid w:val="009A60A4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64B2"/>
    <w:rsid w:val="009C6AAA"/>
    <w:rsid w:val="009D345F"/>
    <w:rsid w:val="009D37E8"/>
    <w:rsid w:val="009D6544"/>
    <w:rsid w:val="009D6579"/>
    <w:rsid w:val="009D7471"/>
    <w:rsid w:val="009E046F"/>
    <w:rsid w:val="009E2529"/>
    <w:rsid w:val="009E35FC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0C6"/>
    <w:rsid w:val="00AC3567"/>
    <w:rsid w:val="00AC3CEA"/>
    <w:rsid w:val="00AC430D"/>
    <w:rsid w:val="00AC493F"/>
    <w:rsid w:val="00AC4C79"/>
    <w:rsid w:val="00AC55FF"/>
    <w:rsid w:val="00AD0EC3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0CD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50350"/>
    <w:rsid w:val="00C5437C"/>
    <w:rsid w:val="00C549D4"/>
    <w:rsid w:val="00C549DA"/>
    <w:rsid w:val="00C563D6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4D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3F26"/>
    <w:rsid w:val="00CA405C"/>
    <w:rsid w:val="00CA4721"/>
    <w:rsid w:val="00CA6785"/>
    <w:rsid w:val="00CB1C16"/>
    <w:rsid w:val="00CB27DE"/>
    <w:rsid w:val="00CB2974"/>
    <w:rsid w:val="00CB2A2F"/>
    <w:rsid w:val="00CB30F6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36D1"/>
    <w:rsid w:val="00CD56B0"/>
    <w:rsid w:val="00CD67C8"/>
    <w:rsid w:val="00CD6BBB"/>
    <w:rsid w:val="00CD70A0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F0B"/>
    <w:rsid w:val="00D666D5"/>
    <w:rsid w:val="00D67B64"/>
    <w:rsid w:val="00D703B8"/>
    <w:rsid w:val="00D70D78"/>
    <w:rsid w:val="00D7408A"/>
    <w:rsid w:val="00D7471B"/>
    <w:rsid w:val="00D75D10"/>
    <w:rsid w:val="00D76AE9"/>
    <w:rsid w:val="00D777DD"/>
    <w:rsid w:val="00D80395"/>
    <w:rsid w:val="00D839DE"/>
    <w:rsid w:val="00D84435"/>
    <w:rsid w:val="00D847EB"/>
    <w:rsid w:val="00D85907"/>
    <w:rsid w:val="00D920BE"/>
    <w:rsid w:val="00D9544F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201A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594A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EF1"/>
    <w:rsid w:val="00F26819"/>
    <w:rsid w:val="00F26DA5"/>
    <w:rsid w:val="00F30982"/>
    <w:rsid w:val="00F318A9"/>
    <w:rsid w:val="00F3221B"/>
    <w:rsid w:val="00F3234F"/>
    <w:rsid w:val="00F3459E"/>
    <w:rsid w:val="00F35E6D"/>
    <w:rsid w:val="00F369CC"/>
    <w:rsid w:val="00F36E33"/>
    <w:rsid w:val="00F37264"/>
    <w:rsid w:val="00F37379"/>
    <w:rsid w:val="00F40A78"/>
    <w:rsid w:val="00F4123D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3D3E"/>
    <w:rsid w:val="00FB5F2F"/>
    <w:rsid w:val="00FB6DBE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ED42A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A0C2-C95A-4A4A-BB5F-50BF9634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6385</TotalTime>
  <Pages>14</Pages>
  <Words>5361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35848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151</cp:revision>
  <cp:lastPrinted>2025-04-09T11:52:00Z</cp:lastPrinted>
  <dcterms:created xsi:type="dcterms:W3CDTF">2023-10-24T10:10:00Z</dcterms:created>
  <dcterms:modified xsi:type="dcterms:W3CDTF">2026-01-23T12:35:00Z</dcterms:modified>
</cp:coreProperties>
</file>