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9"/>
      </w:pPr>
      <w:r/>
      <w:r/>
    </w:p>
    <w:tbl>
      <w:tblPr>
        <w:tblpPr w:horzAnchor="margin" w:tblpXSpec="left" w:vertAnchor="margin" w:tblpY="-2100" w:leftFromText="180" w:topFromText="0" w:rightFromText="180" w:bottomFromText="0"/>
        <w:tblW w:w="999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612"/>
        <w:gridCol w:w="603"/>
        <w:gridCol w:w="271"/>
        <w:gridCol w:w="483"/>
        <w:gridCol w:w="639"/>
        <w:gridCol w:w="639"/>
        <w:gridCol w:w="639"/>
        <w:gridCol w:w="639"/>
        <w:gridCol w:w="2047"/>
        <w:gridCol w:w="1426"/>
      </w:tblGrid>
      <w:tr>
        <w:trPr>
          <w:trHeight w:val="601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98" w:type="dxa"/>
            <w:vAlign w:val="center"/>
            <w:textDirection w:val="lrTb"/>
            <w:noWrap w:val="false"/>
          </w:tcPr>
          <w:p>
            <w:pPr>
              <w:pStyle w:val="719"/>
              <w:ind w:left="2124" w:firstLine="708"/>
              <w:rPr>
                <w:b/>
              </w:rPr>
              <w:framePr w:hSpace="180" w:wrap="around" w:vAnchor="margin" w:hAnchor="margin" w:y="-2100"/>
            </w:pPr>
            <w:r>
              <w:rPr>
                <w:b/>
              </w:rPr>
            </w:r>
            <w:r/>
          </w:p>
          <w:p>
            <w:pPr>
              <w:pStyle w:val="719"/>
              <w:ind w:left="2124" w:firstLine="708"/>
              <w:rPr>
                <w:b/>
              </w:rPr>
              <w:framePr w:hSpace="180" w:wrap="around" w:vAnchor="margin" w:hAnchor="margin" w:y="-2100"/>
            </w:pPr>
            <w:r>
              <w:rPr>
                <w:b/>
              </w:rPr>
              <w:t xml:space="preserve">ПОЯСНИТЕЛЬНАЯ ЗАПИСКА</w:t>
            </w:r>
            <w:r>
              <w:rPr>
                <w:b/>
              </w:rPr>
            </w:r>
            <w:r/>
          </w:p>
          <w:p>
            <w:pPr>
              <w:pStyle w:val="719"/>
              <w:jc w:val="center"/>
              <w:rPr>
                <w:b/>
                <w:bCs/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53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2" w:type="dxa"/>
            <w:vAlign w:val="bottom"/>
            <w:textDirection w:val="lrTb"/>
            <w:noWrap/>
          </w:tcPr>
          <w:p>
            <w:pPr>
              <w:pStyle w:val="719"/>
              <w:jc w:val="center"/>
              <w:rPr>
                <w:b/>
                <w:bCs/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3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1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7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6" w:type="dxa"/>
            <w:vAlign w:val="center"/>
            <w:textDirection w:val="lrTb"/>
            <w:noWrap/>
          </w:tcPr>
          <w:p>
            <w:pPr>
              <w:pStyle w:val="719"/>
              <w:jc w:val="center"/>
              <w:rPr>
                <w:b/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b/>
                <w:sz w:val="22"/>
                <w:szCs w:val="22"/>
              </w:rPr>
              <w:t xml:space="preserve">КОДЫ</w:t>
            </w:r>
            <w:r/>
          </w:p>
        </w:tc>
      </w:tr>
      <w:tr>
        <w:trPr>
          <w:trHeight w:val="53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2" w:type="dxa"/>
            <w:vAlign w:val="bottom"/>
            <w:textDirection w:val="lrTb"/>
            <w:noWrap/>
          </w:tcPr>
          <w:p>
            <w:pPr>
              <w:pStyle w:val="719"/>
              <w:jc w:val="center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3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1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7" w:type="dxa"/>
            <w:vAlign w:val="center"/>
            <w:textDirection w:val="lrTb"/>
            <w:noWrap/>
          </w:tcPr>
          <w:p>
            <w:pPr>
              <w:pStyle w:val="719"/>
              <w:ind w:firstLine="220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  <w:t xml:space="preserve">Форма по ОКУД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426" w:type="dxa"/>
            <w:vAlign w:val="center"/>
            <w:textDirection w:val="lrTb"/>
            <w:noWrap/>
          </w:tcPr>
          <w:p>
            <w:pPr>
              <w:pStyle w:val="719"/>
              <w:jc w:val="center"/>
              <w:rPr>
                <w:b/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b/>
                <w:sz w:val="22"/>
                <w:szCs w:val="22"/>
              </w:rPr>
              <w:t xml:space="preserve">0503160</w:t>
            </w:r>
            <w:r/>
          </w:p>
        </w:tc>
      </w:tr>
      <w:tr>
        <w:trPr>
          <w:trHeight w:val="50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2" w:type="dxa"/>
            <w:vAlign w:val="bottom"/>
            <w:textDirection w:val="lrTb"/>
            <w:noWrap/>
          </w:tcPr>
          <w:p>
            <w:pPr>
              <w:pStyle w:val="719"/>
              <w:jc w:val="center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3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1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gridSpan w:val="4"/>
            <w:shd w:val="clear" w:color="000000" w:fill="d5ee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6" w:type="dxa"/>
            <w:vAlign w:val="bottom"/>
            <w:textDirection w:val="lrTb"/>
            <w:noWrap/>
          </w:tcPr>
          <w:p>
            <w:pPr>
              <w:pStyle w:val="719"/>
              <w:jc w:val="center"/>
              <w:rPr>
                <w:b/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b/>
                <w:sz w:val="22"/>
                <w:szCs w:val="22"/>
              </w:rPr>
              <w:t xml:space="preserve">на «01» января 20</w:t>
            </w:r>
            <w:r>
              <w:rPr>
                <w:b/>
                <w:sz w:val="22"/>
                <w:szCs w:val="22"/>
              </w:rPr>
              <w:t xml:space="preserve">2</w:t>
            </w:r>
            <w:r>
              <w:rPr>
                <w:b/>
                <w:sz w:val="22"/>
                <w:szCs w:val="22"/>
              </w:rPr>
              <w:t xml:space="preserve">4</w:t>
            </w:r>
            <w:r>
              <w:rPr>
                <w:b/>
                <w:sz w:val="22"/>
                <w:szCs w:val="22"/>
              </w:rPr>
              <w:t xml:space="preserve">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7" w:type="dxa"/>
            <w:vAlign w:val="center"/>
            <w:textDirection w:val="lrTb"/>
            <w:noWrap/>
          </w:tcPr>
          <w:p>
            <w:pPr>
              <w:pStyle w:val="719"/>
              <w:ind w:firstLine="220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  <w:t xml:space="preserve">Дата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426" w:type="dxa"/>
            <w:vAlign w:val="center"/>
            <w:textDirection w:val="lrTb"/>
            <w:noWrap/>
          </w:tcPr>
          <w:p>
            <w:pPr>
              <w:pStyle w:val="719"/>
              <w:jc w:val="center"/>
              <w:rPr>
                <w:b/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b/>
                <w:sz w:val="22"/>
                <w:szCs w:val="22"/>
              </w:rPr>
              <w:t xml:space="preserve">01</w:t>
            </w:r>
            <w:r>
              <w:rPr>
                <w:b/>
                <w:sz w:val="22"/>
                <w:szCs w:val="22"/>
              </w:rPr>
              <w:t xml:space="preserve">.01.202</w:t>
            </w:r>
            <w:r>
              <w:rPr>
                <w:b/>
                <w:sz w:val="22"/>
                <w:szCs w:val="22"/>
              </w:rPr>
              <w:t xml:space="preserve">4</w:t>
            </w:r>
            <w:r>
              <w:rPr>
                <w:b/>
                <w:sz w:val="22"/>
                <w:szCs w:val="22"/>
              </w:rPr>
            </w:r>
            <w:r/>
          </w:p>
        </w:tc>
      </w:tr>
      <w:tr>
        <w:trPr>
          <w:cantSplit/>
          <w:trHeight w:val="1208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  <w:t xml:space="preserve">Главный распорядитель, распоряд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тель, получатель бюджетных средств, главный администратор,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тор доходов бюджета,  главный адм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нистратор, администратор источников финансирования дефицита бюджета</w:t>
            </w:r>
            <w:r/>
          </w:p>
        </w:tc>
        <w:tc>
          <w:tcPr>
            <w:gridSpan w:val="4"/>
            <w:shd w:val="clear" w:color="000000" w:fill="d5ee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6" w:type="dxa"/>
            <w:vAlign w:val="bottom"/>
            <w:vMerge w:val="restart"/>
            <w:textDirection w:val="lrTb"/>
            <w:noWrap w:val="false"/>
          </w:tcPr>
          <w:p>
            <w:pPr>
              <w:pStyle w:val="719"/>
              <w:rPr>
                <w:b/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b/>
                <w:sz w:val="22"/>
                <w:szCs w:val="22"/>
              </w:rPr>
              <w:t xml:space="preserve">Управление по </w:t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pStyle w:val="719"/>
              <w:rPr>
                <w:b/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b/>
                <w:sz w:val="22"/>
                <w:szCs w:val="22"/>
              </w:rPr>
              <w:t xml:space="preserve">соц</w:t>
            </w:r>
            <w:r>
              <w:rPr>
                <w:b/>
                <w:sz w:val="22"/>
                <w:szCs w:val="22"/>
              </w:rPr>
              <w:t xml:space="preserve">и</w:t>
            </w:r>
            <w:r>
              <w:rPr>
                <w:b/>
                <w:sz w:val="22"/>
                <w:szCs w:val="22"/>
              </w:rPr>
              <w:t xml:space="preserve">альным вопросам а</w:t>
            </w:r>
            <w:r>
              <w:rPr>
                <w:b/>
                <w:sz w:val="22"/>
                <w:szCs w:val="22"/>
              </w:rPr>
              <w:t xml:space="preserve">д</w:t>
            </w:r>
            <w:r>
              <w:rPr>
                <w:b/>
                <w:sz w:val="22"/>
                <w:szCs w:val="22"/>
              </w:rPr>
              <w:t xml:space="preserve">министрация </w:t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pStyle w:val="719"/>
              <w:rPr>
                <w:b/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b/>
                <w:sz w:val="22"/>
                <w:szCs w:val="22"/>
              </w:rPr>
              <w:t xml:space="preserve">муниц</w:t>
            </w:r>
            <w:r>
              <w:rPr>
                <w:b/>
                <w:sz w:val="22"/>
                <w:szCs w:val="22"/>
              </w:rPr>
              <w:t xml:space="preserve">и</w:t>
            </w:r>
            <w:r>
              <w:rPr>
                <w:b/>
                <w:sz w:val="22"/>
                <w:szCs w:val="22"/>
              </w:rPr>
              <w:t xml:space="preserve">пального </w:t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pStyle w:val="719"/>
              <w:rPr>
                <w:b/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b/>
                <w:sz w:val="22"/>
                <w:szCs w:val="22"/>
              </w:rPr>
              <w:t xml:space="preserve">образования город Краснодар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7" w:type="dxa"/>
            <w:vAlign w:val="center"/>
            <w:textDirection w:val="lrTb"/>
            <w:noWrap/>
          </w:tcPr>
          <w:p>
            <w:pPr>
              <w:pStyle w:val="719"/>
              <w:ind w:firstLine="220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  <w:t xml:space="preserve">по ОКПО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1426" w:type="dxa"/>
            <w:vAlign w:val="center"/>
            <w:textDirection w:val="lrTb"/>
            <w:noWrap/>
          </w:tcPr>
          <w:p>
            <w:pPr>
              <w:pStyle w:val="719"/>
              <w:jc w:val="center"/>
              <w:rPr>
                <w:b/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b/>
                <w:sz w:val="22"/>
                <w:szCs w:val="22"/>
              </w:rPr>
              <w:t xml:space="preserve">75884985</w:t>
            </w:r>
            <w:r>
              <w:rPr>
                <w:b/>
                <w:sz w:val="22"/>
                <w:szCs w:val="22"/>
              </w:rPr>
            </w:r>
            <w:r/>
          </w:p>
        </w:tc>
      </w:tr>
      <w:tr>
        <w:trPr>
          <w:cantSplit/>
          <w:trHeight w:val="119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6" w:type="dxa"/>
            <w:vAlign w:val="center"/>
            <w:vMerge w:val="continue"/>
            <w:textDirection w:val="lrTb"/>
            <w:noWrap w:val="false"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7" w:type="dxa"/>
            <w:vAlign w:val="center"/>
            <w:textDirection w:val="lrTb"/>
            <w:noWrap/>
          </w:tcPr>
          <w:p>
            <w:pPr>
              <w:pStyle w:val="719"/>
              <w:ind w:firstLine="220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  <w:t xml:space="preserve">Глава по БК</w:t>
            </w:r>
            <w:r/>
          </w:p>
        </w:tc>
        <w:tc>
          <w:tcPr>
            <w:tcBorders>
              <w:top w:val="singl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1426" w:type="dxa"/>
            <w:vAlign w:val="center"/>
            <w:textDirection w:val="lrTb"/>
            <w:noWrap/>
          </w:tcPr>
          <w:p>
            <w:pPr>
              <w:pStyle w:val="719"/>
              <w:jc w:val="center"/>
              <w:rPr>
                <w:b/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b/>
                <w:sz w:val="22"/>
                <w:szCs w:val="22"/>
              </w:rPr>
              <w:t xml:space="preserve">9</w:t>
            </w:r>
            <w:r>
              <w:rPr>
                <w:b/>
                <w:sz w:val="22"/>
                <w:szCs w:val="22"/>
              </w:rPr>
              <w:t xml:space="preserve">36</w:t>
            </w:r>
            <w:r>
              <w:rPr>
                <w:b/>
                <w:sz w:val="22"/>
                <w:szCs w:val="22"/>
              </w:rPr>
            </w:r>
            <w:r/>
          </w:p>
        </w:tc>
      </w:tr>
      <w:tr>
        <w:trPr>
          <w:trHeight w:val="1005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  <w:t xml:space="preserve">Наименование бюджета (публично-правового образования)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6" w:type="dxa"/>
            <w:vAlign w:val="bottom"/>
            <w:textDirection w:val="lrTb"/>
            <w:noWrap w:val="false"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  <w:t xml:space="preserve">Бюджет муниципальн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образования город Краснодар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7" w:type="dxa"/>
            <w:vAlign w:val="center"/>
            <w:textDirection w:val="lrTb"/>
            <w:noWrap/>
          </w:tcPr>
          <w:p>
            <w:pPr>
              <w:pStyle w:val="719"/>
              <w:ind w:firstLine="220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  <w:t xml:space="preserve">по ОКТМО</w:t>
            </w:r>
            <w:r/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426" w:type="dxa"/>
            <w:vAlign w:val="center"/>
            <w:textDirection w:val="lrTb"/>
            <w:noWrap/>
          </w:tcPr>
          <w:p>
            <w:pPr>
              <w:pStyle w:val="719"/>
              <w:jc w:val="center"/>
              <w:rPr>
                <w:b/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b/>
                <w:sz w:val="22"/>
                <w:szCs w:val="22"/>
              </w:rPr>
              <w:t xml:space="preserve">03</w:t>
            </w:r>
            <w:r>
              <w:rPr>
                <w:b/>
                <w:sz w:val="22"/>
                <w:szCs w:val="22"/>
              </w:rPr>
              <w:t xml:space="preserve">7</w:t>
            </w:r>
            <w:r>
              <w:rPr>
                <w:b/>
                <w:sz w:val="22"/>
                <w:szCs w:val="22"/>
              </w:rPr>
              <w:t xml:space="preserve">0100</w:t>
            </w:r>
            <w:r>
              <w:rPr>
                <w:b/>
                <w:sz w:val="22"/>
                <w:szCs w:val="22"/>
              </w:rPr>
              <w:t xml:space="preserve">0</w:t>
            </w:r>
            <w:r>
              <w:rPr>
                <w:b/>
                <w:sz w:val="22"/>
                <w:szCs w:val="22"/>
              </w:rPr>
            </w:r>
            <w:r/>
          </w:p>
        </w:tc>
      </w:tr>
      <w:tr>
        <w:trPr>
          <w:trHeight w:val="506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  <w:t xml:space="preserve">Периодичность</w:t>
            </w:r>
            <w:r>
              <w:rPr>
                <w:sz w:val="22"/>
                <w:szCs w:val="22"/>
              </w:rPr>
              <w:t xml:space="preserve">: квартальная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u w:val="single"/>
              </w:rPr>
              <w:t xml:space="preserve">годовая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7" w:type="dxa"/>
            <w:vAlign w:val="center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426" w:type="dxa"/>
            <w:vAlign w:val="center"/>
            <w:textDirection w:val="lrTb"/>
            <w:noWrap/>
          </w:tcPr>
          <w:p>
            <w:pPr>
              <w:pStyle w:val="719"/>
              <w:jc w:val="center"/>
              <w:rPr>
                <w:b/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b/>
                <w:sz w:val="22"/>
                <w:szCs w:val="22"/>
              </w:rPr>
              <w:t xml:space="preserve"> </w:t>
            </w:r>
            <w:r/>
          </w:p>
        </w:tc>
      </w:tr>
      <w:tr>
        <w:trPr>
          <w:trHeight w:val="50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2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  <w:t xml:space="preserve">Единица измерения:</w:t>
            </w:r>
            <w:r/>
          </w:p>
        </w:tc>
        <w:tc>
          <w:tcPr>
            <w:shd w:val="clear" w:color="000000" w:fill="d5ee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3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  <w:t xml:space="preserve">руб.</w:t>
            </w:r>
            <w:r/>
          </w:p>
        </w:tc>
        <w:tc>
          <w:tcPr>
            <w:shd w:val="clear" w:color="000000" w:fill="d5ee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1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000000" w:fill="d5ee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7" w:type="dxa"/>
            <w:vAlign w:val="center"/>
            <w:textDirection w:val="lrTb"/>
            <w:noWrap/>
          </w:tcPr>
          <w:p>
            <w:pPr>
              <w:pStyle w:val="719"/>
              <w:ind w:firstLine="220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  <w:t xml:space="preserve">по ОКЕИ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26" w:type="dxa"/>
            <w:vAlign w:val="center"/>
            <w:textDirection w:val="lrTb"/>
            <w:noWrap/>
          </w:tcPr>
          <w:p>
            <w:pPr>
              <w:pStyle w:val="719"/>
              <w:jc w:val="center"/>
              <w:rPr>
                <w:b/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b/>
                <w:sz w:val="22"/>
                <w:szCs w:val="22"/>
              </w:rPr>
              <w:t xml:space="preserve">383</w:t>
            </w:r>
            <w:r/>
          </w:p>
        </w:tc>
      </w:tr>
      <w:tr>
        <w:trPr>
          <w:trHeight w:val="50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2" w:type="dxa"/>
            <w:vAlign w:val="bottom"/>
            <w:textDirection w:val="lrTb"/>
            <w:noWrap/>
          </w:tcPr>
          <w:p>
            <w:pPr>
              <w:pStyle w:val="719"/>
              <w:jc w:val="center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3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1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7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6" w:type="dxa"/>
            <w:vAlign w:val="bottom"/>
            <w:textDirection w:val="lrTb"/>
            <w:noWrap/>
          </w:tcPr>
          <w:p>
            <w:pPr>
              <w:pStyle w:val="719"/>
              <w:rPr>
                <w:sz w:val="22"/>
                <w:szCs w:val="22"/>
              </w:rPr>
              <w:framePr w:hSpace="180" w:wrap="around" w:vAnchor="margin" w:hAnchor="margin" w:y="-2100"/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719"/>
        <w:jc w:val="center"/>
        <w:spacing w:line="260" w:lineRule="atLeast"/>
      </w:pPr>
      <w:r>
        <w:rPr>
          <w:b/>
        </w:rPr>
        <w:t xml:space="preserve">Раздел 1.</w:t>
      </w:r>
      <w:r/>
    </w:p>
    <w:p>
      <w:pPr>
        <w:pStyle w:val="719"/>
        <w:jc w:val="center"/>
        <w:spacing w:line="260" w:lineRule="atLeast"/>
        <w:rPr>
          <w:b/>
        </w:rPr>
      </w:pPr>
      <w:r>
        <w:rPr>
          <w:b/>
        </w:rPr>
        <w:t xml:space="preserve">Организационная структура субъекта бюдже</w:t>
      </w:r>
      <w:r>
        <w:rPr>
          <w:b/>
        </w:rPr>
        <w:t xml:space="preserve">т</w:t>
      </w:r>
      <w:r>
        <w:rPr>
          <w:b/>
        </w:rPr>
        <w:t xml:space="preserve">ной </w:t>
      </w:r>
      <w:r>
        <w:rPr>
          <w:b/>
        </w:rPr>
        <w:t xml:space="preserve">отчёт</w:t>
      </w:r>
      <w:r>
        <w:rPr>
          <w:b/>
        </w:rPr>
        <w:t xml:space="preserve">ности</w:t>
      </w:r>
      <w:r>
        <w:rPr>
          <w:b/>
        </w:rPr>
      </w:r>
      <w:r/>
    </w:p>
    <w:p>
      <w:pPr>
        <w:pStyle w:val="719"/>
        <w:jc w:val="center"/>
        <w:spacing w:line="260" w:lineRule="atLeast"/>
        <w:rPr>
          <w:b/>
        </w:rPr>
      </w:pPr>
      <w:r>
        <w:rPr>
          <w:b/>
        </w:rPr>
      </w:r>
      <w:r/>
    </w:p>
    <w:p>
      <w:pPr>
        <w:pStyle w:val="719"/>
        <w:ind w:firstLine="709"/>
        <w:jc w:val="both"/>
        <w:spacing w:line="260" w:lineRule="atLeas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Полное наименование субъекта бюджетной отчетности: </w:t>
      </w:r>
      <w:r/>
    </w:p>
    <w:p>
      <w:pPr>
        <w:pStyle w:val="719"/>
        <w:ind w:firstLine="709"/>
        <w:jc w:val="both"/>
        <w:spacing w:line="260" w:lineRule="atLeas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Управление по социальным вопросам администрации муниципального образования город Краснодар (далее – </w:t>
      </w:r>
      <w:r>
        <w:rPr>
          <w:rFonts w:eastAsia="Arial"/>
          <w:color w:val="000000"/>
        </w:rPr>
        <w:t xml:space="preserve">управление</w:t>
      </w:r>
      <w:r>
        <w:rPr>
          <w:rFonts w:eastAsia="Arial"/>
          <w:color w:val="000000"/>
        </w:rPr>
        <w:t xml:space="preserve">).</w:t>
      </w:r>
      <w:r/>
    </w:p>
    <w:p>
      <w:pPr>
        <w:pStyle w:val="719"/>
        <w:ind w:firstLine="709"/>
        <w:jc w:val="both"/>
        <w:spacing w:line="260" w:lineRule="atLeas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Сокращенное наименование – отсутствует</w:t>
      </w:r>
      <w:r>
        <w:rPr>
          <w:rFonts w:eastAsia="Arial"/>
          <w:color w:val="000000"/>
        </w:rPr>
      </w:r>
      <w:r/>
    </w:p>
    <w:p>
      <w:pPr>
        <w:pStyle w:val="719"/>
        <w:ind w:firstLine="709"/>
        <w:jc w:val="both"/>
        <w:spacing w:line="260" w:lineRule="atLeas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Управление действует на основании Положения, утве</w:t>
      </w:r>
      <w:r>
        <w:rPr>
          <w:rFonts w:eastAsia="Arial"/>
          <w:color w:val="000000"/>
        </w:rPr>
        <w:t xml:space="preserve">р</w:t>
      </w:r>
      <w:r>
        <w:rPr>
          <w:rFonts w:eastAsia="Arial"/>
          <w:color w:val="000000"/>
        </w:rPr>
        <w:t xml:space="preserve">жденного реш</w:t>
      </w:r>
      <w:r>
        <w:rPr>
          <w:rFonts w:eastAsia="Arial"/>
          <w:color w:val="000000"/>
        </w:rPr>
        <w:t xml:space="preserve">е</w:t>
      </w:r>
      <w:r>
        <w:rPr>
          <w:rFonts w:eastAsia="Arial"/>
          <w:color w:val="000000"/>
        </w:rPr>
        <w:t xml:space="preserve">нием городской Думы Краснодара от 23.03.2006 № 8 п.20. </w:t>
      </w:r>
      <w:r>
        <w:rPr>
          <w:rFonts w:eastAsia="Arial"/>
          <w:color w:val="000000"/>
        </w:rPr>
      </w:r>
      <w:r/>
    </w:p>
    <w:p>
      <w:pPr>
        <w:pStyle w:val="719"/>
        <w:ind w:firstLine="709"/>
        <w:jc w:val="both"/>
        <w:spacing w:line="260" w:lineRule="atLeas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Управление является юридическим лицом, имеет предусмотренные бюджетным законодательством </w:t>
      </w:r>
      <w:r>
        <w:rPr>
          <w:rFonts w:eastAsia="Arial"/>
          <w:color w:val="000000"/>
        </w:rPr>
        <w:t xml:space="preserve">счёт</w:t>
      </w:r>
      <w:r>
        <w:rPr>
          <w:rFonts w:eastAsia="Arial"/>
          <w:color w:val="000000"/>
        </w:rPr>
        <w:t xml:space="preserve">а, гербовую печать, простые печати для документов, штампы и бланки.</w:t>
      </w:r>
      <w:r>
        <w:rPr>
          <w:rFonts w:eastAsia="Arial"/>
          <w:color w:val="000000"/>
        </w:rPr>
      </w:r>
      <w:r/>
    </w:p>
    <w:p>
      <w:pPr>
        <w:pStyle w:val="719"/>
        <w:ind w:firstLine="709"/>
        <w:jc w:val="both"/>
        <w:spacing w:line="260" w:lineRule="atLeas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Управление включено в Единый государственный реестр юридических лиц </w:t>
      </w:r>
      <w:r>
        <w:rPr>
          <w:rFonts w:eastAsia="Arial"/>
          <w:color w:val="000000"/>
        </w:rPr>
        <w:t xml:space="preserve">      </w:t>
      </w:r>
      <w:r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№ 1052303646779 на основании свидетельства </w:t>
      </w:r>
      <w:r>
        <w:rPr>
          <w:rFonts w:eastAsia="Arial"/>
          <w:color w:val="000000"/>
        </w:rPr>
        <w:t xml:space="preserve">от 16.02.2005</w:t>
      </w:r>
      <w:r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серии 23 № 000839696 Эл</w:t>
      </w:r>
      <w:r>
        <w:rPr>
          <w:rFonts w:eastAsia="Arial"/>
          <w:color w:val="000000"/>
        </w:rPr>
        <w:t xml:space="preserve">ектронный адрес: </w:t>
      </w:r>
      <w:r>
        <w:rPr>
          <w:rFonts w:eastAsia="Arial"/>
          <w:color w:val="000000"/>
        </w:rPr>
        <w:fldChar w:fldCharType="begin"/>
      </w:r>
      <w:r>
        <w:rPr>
          <w:rFonts w:eastAsia="Arial"/>
          <w:color w:val="000000"/>
        </w:rPr>
        <w:instrText xml:space="preserve"> HYPERLINK "http://www.sv@krd.ru" </w:instrText>
      </w:r>
      <w:r>
        <w:rPr>
          <w:rFonts w:eastAsia="Arial"/>
          <w:color w:val="000000"/>
        </w:rPr>
        <w:fldChar w:fldCharType="separate"/>
      </w:r>
      <w:r>
        <w:rPr>
          <w:rStyle w:val="736"/>
          <w:rFonts w:eastAsia="Arial"/>
        </w:rPr>
        <w:t xml:space="preserve">www.sv@krd.ru</w:t>
      </w:r>
      <w:r>
        <w:rPr>
          <w:rFonts w:eastAsia="Arial"/>
          <w:color w:val="000000"/>
        </w:rPr>
        <w:fldChar w:fldCharType="end"/>
      </w:r>
      <w:r>
        <w:rPr>
          <w:rFonts w:eastAsia="Arial"/>
          <w:color w:val="000000"/>
        </w:rPr>
        <w:t xml:space="preserve">.</w:t>
      </w:r>
      <w:r/>
    </w:p>
    <w:p>
      <w:pPr>
        <w:pStyle w:val="719"/>
        <w:ind w:firstLine="709"/>
        <w:jc w:val="both"/>
        <w:spacing w:line="260" w:lineRule="atLeas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ИНН 2308104599 КПП 230801001</w:t>
      </w:r>
      <w:r/>
    </w:p>
    <w:p>
      <w:pPr>
        <w:pStyle w:val="719"/>
        <w:ind w:firstLine="709"/>
        <w:jc w:val="both"/>
        <w:spacing w:line="260" w:lineRule="atLeas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ОКВЭД </w:t>
      </w:r>
      <w:r>
        <w:rPr>
          <w:rFonts w:eastAsia="Arial"/>
          <w:color w:val="000000"/>
        </w:rPr>
        <w:t xml:space="preserve">84.11.3</w:t>
      </w:r>
      <w:r>
        <w:rPr>
          <w:rFonts w:eastAsia="Arial"/>
          <w:color w:val="000000"/>
        </w:rPr>
      </w:r>
      <w:r/>
    </w:p>
    <w:p>
      <w:pPr>
        <w:pStyle w:val="719"/>
        <w:ind w:firstLine="709"/>
        <w:jc w:val="both"/>
        <w:spacing w:line="260" w:lineRule="atLeas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Код главы 936</w:t>
      </w:r>
      <w:r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</w:r>
      <w:r/>
    </w:p>
    <w:p>
      <w:pPr>
        <w:pStyle w:val="719"/>
        <w:ind w:firstLine="709"/>
        <w:jc w:val="both"/>
        <w:spacing w:line="260" w:lineRule="atLeas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Юридический (фактический) адрес: 350020 г.</w:t>
      </w:r>
      <w:r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Краснодар, </w:t>
      </w:r>
      <w:r>
        <w:rPr>
          <w:rFonts w:eastAsia="Arial"/>
          <w:color w:val="000000"/>
        </w:rPr>
        <w:t xml:space="preserve">ул.</w:t>
      </w:r>
      <w:r>
        <w:rPr>
          <w:rFonts w:eastAsia="Arial"/>
          <w:color w:val="000000"/>
        </w:rPr>
        <w:t xml:space="preserve"> Одесская</w:t>
      </w:r>
      <w:r>
        <w:rPr>
          <w:rFonts w:eastAsia="Arial"/>
          <w:color w:val="000000"/>
        </w:rPr>
        <w:t xml:space="preserve">,1 </w:t>
      </w:r>
      <w:r/>
    </w:p>
    <w:p>
      <w:pPr>
        <w:pStyle w:val="719"/>
        <w:ind w:firstLine="709"/>
        <w:jc w:val="both"/>
        <w:spacing w:line="260" w:lineRule="atLeast"/>
      </w:pPr>
      <w:r>
        <w:rPr>
          <w:rFonts w:eastAsia="Arial"/>
          <w:color w:val="000000"/>
        </w:rPr>
        <w:t xml:space="preserve">В</w:t>
      </w:r>
      <w:r>
        <w:rPr>
          <w:rFonts w:eastAsia="Arial"/>
          <w:color w:val="000000"/>
        </w:rPr>
        <w:t xml:space="preserve"> Департаменте финансов администрации муниципального образования город Краснодар</w:t>
      </w:r>
      <w:r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у</w:t>
      </w:r>
      <w:r>
        <w:rPr>
          <w:rFonts w:eastAsia="Arial"/>
          <w:color w:val="000000"/>
        </w:rPr>
        <w:t xml:space="preserve">правлению </w:t>
      </w:r>
      <w:r>
        <w:rPr>
          <w:rFonts w:eastAsia="Arial"/>
          <w:color w:val="000000"/>
        </w:rPr>
        <w:t xml:space="preserve">открыты </w:t>
      </w:r>
      <w:r>
        <w:rPr>
          <w:rFonts w:eastAsia="Arial"/>
          <w:color w:val="000000"/>
        </w:rPr>
        <w:t xml:space="preserve">лицев</w:t>
      </w:r>
      <w:r>
        <w:rPr>
          <w:rFonts w:eastAsia="Arial"/>
          <w:color w:val="000000"/>
        </w:rPr>
        <w:t xml:space="preserve">ые </w:t>
      </w:r>
      <w:r>
        <w:rPr>
          <w:rFonts w:eastAsia="Arial"/>
          <w:color w:val="000000"/>
        </w:rPr>
        <w:t xml:space="preserve">счёт</w:t>
      </w:r>
      <w:r>
        <w:rPr>
          <w:rFonts w:eastAsia="Arial"/>
          <w:color w:val="000000"/>
        </w:rPr>
        <w:t xml:space="preserve">а: </w:t>
      </w:r>
      <w:r>
        <w:rPr>
          <w:rFonts w:eastAsia="Arial"/>
          <w:color w:val="000000"/>
        </w:rPr>
        <w:t xml:space="preserve">936.01.001.1</w:t>
      </w:r>
      <w:r>
        <w:rPr>
          <w:rFonts w:eastAsia="Arial"/>
          <w:color w:val="000000"/>
        </w:rPr>
        <w:t xml:space="preserve"> и</w:t>
      </w:r>
      <w:r>
        <w:t xml:space="preserve"> </w:t>
      </w:r>
      <w:r>
        <w:t xml:space="preserve">936.01.001.3</w:t>
      </w:r>
      <w:r>
        <w:t xml:space="preserve"> </w:t>
      </w:r>
      <w:r>
        <w:t xml:space="preserve">«</w:t>
      </w:r>
      <w:r>
        <w:t xml:space="preserve">Средства во временном распоряжении</w:t>
      </w:r>
      <w:r>
        <w:t xml:space="preserve">».</w:t>
      </w:r>
      <w:r/>
    </w:p>
    <w:p>
      <w:pPr>
        <w:pStyle w:val="719"/>
        <w:ind w:firstLine="709"/>
        <w:jc w:val="both"/>
        <w:spacing w:line="260" w:lineRule="atLeas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На лицевой </w:t>
      </w:r>
      <w:r>
        <w:rPr>
          <w:rFonts w:eastAsia="Arial"/>
          <w:color w:val="000000"/>
        </w:rPr>
        <w:t xml:space="preserve">счёт</w:t>
      </w:r>
      <w:r>
        <w:rPr>
          <w:rFonts w:eastAsia="Arial"/>
          <w:color w:val="000000"/>
        </w:rPr>
        <w:t xml:space="preserve"> «Средства во временном распоряжении», поступают средства в виде залоговых сумм организаций и предприятий поставщиков на обеспечение выполнения муниципальных контрактов, которые возвращаются владельцу после исполнения муниципального контракта.</w:t>
      </w:r>
      <w:r>
        <w:rPr>
          <w:rFonts w:eastAsia="Arial"/>
          <w:color w:val="000000"/>
        </w:rPr>
      </w:r>
      <w:r/>
    </w:p>
    <w:p>
      <w:pPr>
        <w:pStyle w:val="719"/>
        <w:ind w:firstLine="709"/>
        <w:jc w:val="both"/>
        <w:spacing w:line="260" w:lineRule="atLeas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Управлению</w:t>
      </w:r>
      <w:r>
        <w:rPr>
          <w:rFonts w:eastAsia="Arial"/>
          <w:color w:val="000000"/>
        </w:rPr>
        <w:t xml:space="preserve"> открыт лицевой счет 041</w:t>
      </w:r>
      <w:r>
        <w:rPr>
          <w:rFonts w:eastAsia="Arial"/>
          <w:color w:val="000000"/>
        </w:rPr>
        <w:t xml:space="preserve">83211600</w:t>
      </w:r>
      <w:r>
        <w:rPr>
          <w:rFonts w:eastAsia="Arial"/>
          <w:color w:val="000000"/>
        </w:rPr>
        <w:t xml:space="preserve"> администратора доходов бюджета в Управлении Федерального казначейства по Краснодарскому краю.</w:t>
      </w:r>
      <w:r/>
    </w:p>
    <w:p>
      <w:pPr>
        <w:pStyle w:val="719"/>
        <w:ind w:firstLine="709"/>
        <w:jc w:val="both"/>
        <w:spacing w:line="260" w:lineRule="atLeas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Банковских </w:t>
      </w:r>
      <w:r>
        <w:rPr>
          <w:rFonts w:eastAsia="Arial"/>
          <w:color w:val="000000"/>
        </w:rPr>
        <w:t xml:space="preserve">счёт</w:t>
      </w:r>
      <w:r>
        <w:rPr>
          <w:rFonts w:eastAsia="Arial"/>
          <w:color w:val="000000"/>
        </w:rPr>
        <w:t xml:space="preserve">ов в кредитных организациях </w:t>
      </w:r>
      <w:r>
        <w:rPr>
          <w:rFonts w:eastAsia="Arial"/>
          <w:color w:val="000000"/>
        </w:rPr>
        <w:t xml:space="preserve">у</w:t>
      </w:r>
      <w:r>
        <w:rPr>
          <w:rFonts w:eastAsia="Arial"/>
          <w:color w:val="000000"/>
        </w:rPr>
        <w:t xml:space="preserve">правление </w:t>
      </w:r>
      <w:r>
        <w:rPr>
          <w:rFonts w:eastAsia="Arial"/>
          <w:color w:val="000000"/>
        </w:rPr>
        <w:t xml:space="preserve">не имеет.</w:t>
      </w:r>
      <w:r>
        <w:rPr>
          <w:rFonts w:eastAsia="Arial"/>
          <w:color w:val="000000"/>
        </w:rPr>
      </w:r>
      <w:r/>
    </w:p>
    <w:p>
      <w:pPr>
        <w:pStyle w:val="719"/>
        <w:ind w:firstLine="709"/>
        <w:jc w:val="both"/>
        <w:spacing w:line="260" w:lineRule="atLeas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Касса для выдачи наличных денежных средств в у</w:t>
      </w:r>
      <w:r>
        <w:rPr>
          <w:rFonts w:eastAsia="Arial"/>
          <w:color w:val="000000"/>
        </w:rPr>
        <w:t xml:space="preserve">правлении </w:t>
      </w:r>
      <w:r>
        <w:rPr>
          <w:rFonts w:eastAsia="Arial"/>
          <w:color w:val="000000"/>
        </w:rPr>
        <w:t xml:space="preserve">отсутствует. Все ра</w:t>
      </w:r>
      <w:r>
        <w:rPr>
          <w:rFonts w:eastAsia="Arial"/>
          <w:color w:val="000000"/>
        </w:rPr>
        <w:t xml:space="preserve">счёт</w:t>
      </w:r>
      <w:r>
        <w:rPr>
          <w:rFonts w:eastAsia="Arial"/>
          <w:color w:val="000000"/>
        </w:rPr>
        <w:t xml:space="preserve">ы осуществляются в безналичном</w:t>
      </w:r>
      <w:r>
        <w:rPr>
          <w:rFonts w:eastAsia="Arial"/>
          <w:color w:val="000000"/>
        </w:rPr>
        <w:t xml:space="preserve"> порядке.</w:t>
      </w:r>
      <w:r>
        <w:rPr>
          <w:rFonts w:eastAsia="Arial"/>
          <w:color w:val="000000"/>
        </w:rPr>
      </w:r>
      <w:r/>
    </w:p>
    <w:p>
      <w:pPr>
        <w:pStyle w:val="719"/>
        <w:ind w:firstLine="709"/>
        <w:jc w:val="both"/>
        <w:spacing w:line="260" w:lineRule="atLeas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Управление является функциональным органом админ</w:t>
      </w:r>
      <w:r>
        <w:rPr>
          <w:rFonts w:eastAsia="Arial"/>
          <w:color w:val="000000"/>
        </w:rPr>
        <w:t xml:space="preserve">и</w:t>
      </w:r>
      <w:r>
        <w:rPr>
          <w:rFonts w:eastAsia="Arial"/>
          <w:color w:val="000000"/>
        </w:rPr>
        <w:t xml:space="preserve">страции муниципального образования город Красн</w:t>
      </w:r>
      <w:r>
        <w:rPr>
          <w:rFonts w:eastAsia="Arial"/>
          <w:color w:val="000000"/>
        </w:rPr>
        <w:t xml:space="preserve">о</w:t>
      </w:r>
      <w:r>
        <w:rPr>
          <w:rFonts w:eastAsia="Arial"/>
          <w:color w:val="000000"/>
        </w:rPr>
        <w:t xml:space="preserve">дар.</w:t>
      </w:r>
      <w:r>
        <w:rPr>
          <w:rFonts w:eastAsia="Arial"/>
          <w:color w:val="000000"/>
        </w:rPr>
      </w:r>
      <w:r/>
    </w:p>
    <w:p>
      <w:pPr>
        <w:pStyle w:val="719"/>
        <w:ind w:firstLine="709"/>
        <w:jc w:val="both"/>
        <w:spacing w:line="260" w:lineRule="atLeast"/>
      </w:pPr>
      <w:r>
        <w:rPr>
          <w:rFonts w:eastAsia="Arial"/>
          <w:color w:val="000000"/>
        </w:rPr>
        <w:t xml:space="preserve">У</w:t>
      </w:r>
      <w:r>
        <w:t xml:space="preserve">правление непосредственно подчинено заместителю главы муниц</w:t>
      </w:r>
      <w:r>
        <w:t xml:space="preserve">и</w:t>
      </w:r>
      <w:r>
        <w:t xml:space="preserve">пального образования город Краснодар, координирующему работу </w:t>
      </w:r>
      <w:r>
        <w:t xml:space="preserve">у</w:t>
      </w:r>
      <w:r>
        <w:t xml:space="preserve">правл</w:t>
      </w:r>
      <w:r>
        <w:t xml:space="preserve">е</w:t>
      </w:r>
      <w:r>
        <w:t xml:space="preserve">ния в соответствии с распоряжением администрации муниципального обр</w:t>
      </w:r>
      <w:r>
        <w:t xml:space="preserve">а</w:t>
      </w:r>
      <w:r>
        <w:t xml:space="preserve">зования город Краснодар о распределении обязанностей между заместител</w:t>
      </w:r>
      <w:r>
        <w:t xml:space="preserve">я</w:t>
      </w:r>
      <w:r>
        <w:t xml:space="preserve">ми главы муниципального образования город Краснодар.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Управлением руководит начальник управления</w:t>
      </w:r>
      <w:r>
        <w:t xml:space="preserve"> </w:t>
      </w:r>
      <w:r>
        <w:t xml:space="preserve">И.А.Косинкова,</w:t>
      </w:r>
      <w:r>
        <w:t xml:space="preserve"> </w:t>
      </w:r>
      <w:r>
        <w:t xml:space="preserve">начальник управления </w:t>
      </w:r>
      <w:r>
        <w:t xml:space="preserve">назначается и освобождается от занимаемой должности главой муниципального образования город Краснодар.</w:t>
        <w:tab/>
      </w:r>
      <w:r/>
    </w:p>
    <w:p>
      <w:pPr>
        <w:pStyle w:val="719"/>
        <w:ind w:firstLine="709"/>
        <w:jc w:val="both"/>
      </w:pPr>
      <w:r>
        <w:t xml:space="preserve">Основными задачами деятельности </w:t>
      </w:r>
      <w:r>
        <w:t xml:space="preserve">управления</w:t>
      </w:r>
      <w:r>
        <w:t xml:space="preserve"> являются: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 ф</w:t>
      </w:r>
      <w:r>
        <w:t xml:space="preserve">ормирование единой политики в сфере социальной поддержки населения на территории муниципального образования город Краснодар и обеспечение ее реализации</w:t>
      </w:r>
      <w:r>
        <w:t xml:space="preserve">;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 реализация основных направлений государственной политики в области охраны труда на территории муниципального образования город Краснодар;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 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работником;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 координация мероприятий по организации временно</w:t>
      </w:r>
      <w:r>
        <w:t xml:space="preserve">го трудоустройства несовершеннолетних граждан в возрасте от 14 до 18 лет в свободное от учебы время; оплачиваемых общественных работ для безработных граждан, зарегистрированных в органах службы занятости, в целях поиска подходящей работы; ярмарок вакансий;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 координация действий по обеспечению безопасных условий и охраны труда в отраслевых, функциональных и территориальных органах администрации муниципального образования город Краснодар, муниципальных унитарных предприятиях и муниципальных учреждениях;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 организация деятельности по осуществлению </w:t>
      </w:r>
      <w:r>
        <w:t xml:space="preserve">ведомственного контроля за соблюдением трудового законодательства и иных нормативных правовых актов, содержащих нормы трудового права, в муниципальном казенном учреждении муниципального образования город Краснодар «Центр «Источник» (далее - МКУ «Источник»;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 обеспечение выплаты пенсии за выслугу лет лицам, замещавшим муниципальные должности и должности муниципальной службы в муниципальном образовании город Краснодар.6.8. Организация взаимод</w:t>
      </w:r>
      <w:r>
        <w:t xml:space="preserve">ействия органов местного самоуправления муниципального образования город Краснодар с органами исполнительной власти Краснодарского края по вопросам реализации социальной защиты и поддержки населения на территории муниципального образования город Краснодар;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 обеспечение назначения и выплаты за счет средств местного бюджета (бюджета муниципального образования город Краснодар) мер социальной поддержки отдельным категориям граждан, проживающих на территории муниципального</w:t>
      </w:r>
      <w:r>
        <w:t xml:space="preserve"> образования город Краснодар, единовременной денежной выплаты малоимущим многодетным семьям, проживающим в муниципальном образовании город Краснодар; ежемесячной денежной выплаты почетным гражданам города Краснодара; ежегодной денежной компенсации расходов</w:t>
      </w:r>
      <w:r>
        <w:t xml:space="preserve">, фактически понесенных за санаторно-курортное лечение почетными гражданами города Краснодара; компенсации расходов на погребение почетных граждан города Краснодара, вдов Героев Советского Союза, Героев Российской Федерации и полных кавалеров ордена Славы;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 обеспечение оказания по</w:t>
      </w:r>
      <w:r>
        <w:t xml:space="preserve">мощи гражданам Российской Федерации, пострадавшим в результате чрезвычайной ситуации на территории муниципального образования город Краснодар, за счет средств бюджетных ассигнований резервного фонда администрации муниципального образования город Краснодар;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 - обеспечение автономными дымовыми пожарными извещателями в целях предупреждения пожаров в местах проживания малоимущих многодетных семей, семей, находящихся в трудной жизненной ситуации, в социально опасном положении; 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 взаимодействие с уполномоченным по правам ребенка в Краснодарском крае в соответствии с Законом Краснодарского края от 26.06.2002 № 498-КЗ «Об Уполномоченном по правам ребенка в Краснодарском крае»;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 осуществление внутреннего финансового аудита МКУ «Источник» в соответствии с бюджетным законодательством;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 осуществление бюджетных полномочий главного распорядителя средств местного бюджета (бюджета муниципального образования город Краснодар);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 к</w:t>
      </w:r>
      <w:r>
        <w:t xml:space="preserve">оординация работы по созданию беспрепятственного доступа для маломобильных граждан к объектам социальной, транспортной и инженерной инфраструктуры, информации и связи в муниципальном образовании город Краснодар</w:t>
      </w:r>
      <w:r>
        <w:t xml:space="preserve">;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 к</w:t>
      </w:r>
      <w:r>
        <w:t xml:space="preserve">оординация работы по исполнению Постановления Правительства Российской Федерации от 09.07.2016 </w:t>
      </w:r>
      <w:r>
        <w:t xml:space="preserve">№</w:t>
      </w:r>
      <w:r>
        <w:t xml:space="preserve"> 649 </w:t>
      </w:r>
      <w:r>
        <w:t xml:space="preserve">«</w:t>
      </w:r>
      <w:r>
        <w:t xml:space="preserve">О мерах по приспособлению жилых помещений и общего имущества в многоквартирном доме с учетом потребностей инвалидов</w:t>
      </w:r>
      <w:r>
        <w:t xml:space="preserve">»;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</w:t>
      </w:r>
      <w:r>
        <w:t xml:space="preserve"> </w:t>
      </w:r>
      <w:r>
        <w:t xml:space="preserve">к</w:t>
      </w:r>
      <w:r>
        <w:t xml:space="preserve">оординация работы администрации муниципального образования город Краснодар по исполнению постановления Правительства Российской Федерации от 16.08.2021 </w:t>
      </w:r>
      <w:r>
        <w:t xml:space="preserve">№</w:t>
      </w:r>
      <w:r>
        <w:t xml:space="preserve"> 1342 </w:t>
      </w:r>
      <w:r>
        <w:t xml:space="preserve">«</w:t>
      </w:r>
      <w:r>
        <w:t xml:space="preserve">О Единой государственной информационной системе социального обеспечения</w:t>
      </w:r>
      <w:r>
        <w:t xml:space="preserve">»</w:t>
      </w:r>
      <w:r>
        <w:t xml:space="preserve">, ведению Единой государственной информационной системы социального обеспечения в городе Краснодаре</w:t>
      </w:r>
      <w:r>
        <w:t xml:space="preserve">;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</w:t>
      </w:r>
      <w:r>
        <w:t xml:space="preserve"> </w:t>
      </w:r>
      <w:r>
        <w:t xml:space="preserve">о</w:t>
      </w:r>
      <w:r>
        <w:t xml:space="preserve">пределение перечня организаций, для которых вводятся квоты для граждан, испытывающих трудности в поиске работы</w:t>
      </w:r>
      <w:r>
        <w:t xml:space="preserve">;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 с</w:t>
      </w:r>
      <w:r>
        <w:t xml:space="preserve">одействие в трудоустройстве участников государственной программы Краснодарского края </w:t>
      </w:r>
      <w:r>
        <w:t xml:space="preserve">«</w:t>
      </w:r>
      <w:r>
        <w:t xml:space="preserve">Содействие занятости населения</w:t>
      </w:r>
      <w:r>
        <w:t xml:space="preserve">»</w:t>
      </w:r>
      <w:r>
        <w:t xml:space="preserve"> и членов их семей из числа соотечественников, решивших переехать на постоянное место жительства на территорию муниципального образования город Краснодар</w:t>
      </w:r>
      <w:r>
        <w:t xml:space="preserve">;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- к</w:t>
      </w:r>
      <w:r>
        <w:t xml:space="preserve">оординация работы по вопросам предоставления дополнительной меры социальной поддержки в виде проведения ремонта жилых помещений ветеранов Великой Отечественной войны и лиц, приравненных к ним</w:t>
      </w:r>
      <w:r>
        <w:t xml:space="preserve">.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Финансирование деятельности управления </w:t>
      </w:r>
      <w:r>
        <w:t xml:space="preserve">и МКУ «Источник» </w:t>
      </w:r>
      <w:r>
        <w:t xml:space="preserve">осуществляется за </w:t>
      </w:r>
      <w:r>
        <w:t xml:space="preserve">счёт</w:t>
      </w:r>
      <w:r>
        <w:t xml:space="preserve"> средств местного бюджета (бюджета муниципального образования город Краснодар)</w:t>
      </w:r>
      <w:r>
        <w:t xml:space="preserve"> в соответствии с б</w:t>
      </w:r>
      <w:r>
        <w:t xml:space="preserve">юджетной сметой расходов</w:t>
      </w:r>
      <w:r>
        <w:t xml:space="preserve">.</w:t>
      </w:r>
      <w:r>
        <w:t xml:space="preserve"> Приносящая доход деятельность </w:t>
      </w:r>
      <w:r>
        <w:t xml:space="preserve">не осуществляется</w:t>
      </w:r>
      <w:r>
        <w:t xml:space="preserve">.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Должность главного бухгалтера штатным расписанием не предусмотрена, поэтому обязанности выполняет начальник финансово — экономического отдела О.П.Сальникова.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Бухгалтерский учет полностью автоматизирован, применяется программа 1С: Предприятие 8.3.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Деятельность управления осуществляется в соответствии с учетной политикой, утвержденной приказом начальника управления от 29.12.2018 № 120, графиком документооборота.</w:t>
      </w:r>
      <w:r/>
    </w:p>
    <w:p>
      <w:pPr>
        <w:pStyle w:val="719"/>
        <w:ind w:firstLine="709"/>
        <w:jc w:val="both"/>
        <w:spacing w:after="1" w:line="240" w:lineRule="atLeast"/>
      </w:pPr>
      <w:r>
        <w:t xml:space="preserve">Управление является главным распорядителем средств местного бюджета</w:t>
      </w:r>
      <w:r>
        <w:t xml:space="preserve"> и главным администратором доходов</w:t>
      </w:r>
      <w:r>
        <w:t xml:space="preserve">.</w:t>
      </w:r>
      <w:r/>
    </w:p>
    <w:p>
      <w:pPr>
        <w:pStyle w:val="719"/>
        <w:ind w:firstLine="709"/>
        <w:jc w:val="both"/>
      </w:pPr>
      <w:r>
        <w:t xml:space="preserve">За управлением закреплен: - МКУ «Источник».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МКУ «Источник»</w:t>
      </w:r>
      <w:r>
        <w:rPr>
          <w:rFonts w:eastAsia="Arial"/>
        </w:rPr>
        <w:t xml:space="preserve"> действует на основании Устава, утвержденного Постановлением администрации муниципального образования город Краснодар от 30.12.2015 № 8921.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МКУ «Источник» </w:t>
      </w:r>
      <w:r>
        <w:rPr>
          <w:rFonts w:eastAsia="Arial"/>
        </w:rPr>
        <w:t xml:space="preserve">действует на постоянной основе и является юридическим лицом, имеет предусмотренные бюджетным законодательством лицевые счета, печать, штампы.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МКУ «Источник» </w:t>
      </w:r>
      <w:r>
        <w:rPr>
          <w:rFonts w:eastAsia="Arial"/>
        </w:rPr>
        <w:t xml:space="preserve">осуществляет следующие виды деятельности: 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- организация пребывания в Казенном учреждении (питания и проживания) 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- организация консультативной помощи; 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- групповое посещение мест отдыха, экскурсии;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- проведение вечеров отдыха.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МКУ «Источник» </w:t>
      </w:r>
      <w:r>
        <w:rPr>
          <w:rFonts w:eastAsia="Arial"/>
        </w:rPr>
        <w:t xml:space="preserve">руководит директор Киланов Александр </w:t>
      </w:r>
      <w:r>
        <w:rPr>
          <w:rFonts w:eastAsia="Arial"/>
        </w:rPr>
        <w:t xml:space="preserve">Васильевич,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назначенный </w:t>
      </w:r>
      <w:r>
        <w:rPr>
          <w:rFonts w:eastAsia="Arial"/>
        </w:rPr>
        <w:t xml:space="preserve">распоряжением главы муниципального образования город Краснодар.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Финансирование деятельности </w:t>
      </w:r>
      <w:r>
        <w:rPr>
          <w:rFonts w:eastAsia="Arial"/>
        </w:rPr>
        <w:t xml:space="preserve">МКУ «Источник» </w:t>
      </w:r>
      <w:r>
        <w:rPr>
          <w:rFonts w:eastAsia="Arial"/>
        </w:rPr>
        <w:t xml:space="preserve">осуществляется за счет средств местного бюджета (бюджета муниципального образования город Краснодар). 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Должность главного бухгалтера предусмотрена штатным расписанием. 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Бухгалтерский учет полностью автоматизирован, применяется программа 1С Бухгалтерия и 1С Зарплата и кадры.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МКУ «Источник» </w:t>
      </w:r>
      <w:r>
        <w:rPr>
          <w:rFonts w:eastAsia="Arial"/>
        </w:rPr>
        <w:t xml:space="preserve">включено в Единый государственный реестр юридических лиц за № 1032305686632 на основании свидетельства серии 23 № 009531035 от 29.01.2005г. 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Юридический (фактический) адрес: 353290 Краснодарский край, г. Горячий Ключ ул. Им. Ленина, 215. Электронный адрес: istochnik.gk@mail.ru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В</w:t>
      </w:r>
      <w:r>
        <w:rPr>
          <w:rFonts w:eastAsia="Arial"/>
        </w:rPr>
        <w:t xml:space="preserve"> департаменте финансов администрации муниципального образования город Краснодар открыты лицевые счета: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- лицевой счет получателя бюджетных средств № 936.02.501.1</w:t>
      </w:r>
      <w:r>
        <w:rPr>
          <w:rFonts w:eastAsia="Arial"/>
        </w:rPr>
        <w:t xml:space="preserve">;</w:t>
      </w:r>
      <w:r>
        <w:rPr>
          <w:rFonts w:eastAsia="Arial"/>
        </w:rPr>
        <w:t xml:space="preserve"> 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-лицевой счет, предназначенный для учета операций со средствами, поступающими клиентам во временное распоряжение № 936.02.501.3</w:t>
      </w:r>
      <w:r>
        <w:rPr>
          <w:rFonts w:eastAsia="Arial"/>
        </w:rPr>
        <w:t xml:space="preserve">.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Банковских счетов в кредитных организациях учреждение не имеет. Касса для выдачи наличных денежных средств в учреждении отсутствует. Все расчеты осуществляются в безналичном порядке.</w:t>
      </w:r>
      <w:r/>
    </w:p>
    <w:p>
      <w:pPr>
        <w:pStyle w:val="719"/>
        <w:ind w:firstLine="709"/>
        <w:jc w:val="both"/>
      </w:pPr>
      <w:r>
        <w:t xml:space="preserve">Показатели бюджетной отчетности сформированы в соответствии с требованиями Инструкций </w:t>
      </w:r>
      <w:r>
        <w:fldChar w:fldCharType="begin"/>
      </w:r>
      <w:r>
        <w:instrText xml:space="preserve">HYPERLINK https://login.consultant.ru/link/?req=doc&amp;base=LAW&amp;n=467434&amp;date=28.01.2024&amp;dst=100015&amp;field=134 </w:instrText>
      </w:r>
      <w:r>
        <w:fldChar w:fldCharType="separate"/>
      </w:r>
      <w:r>
        <w:rPr>
          <w:rStyle w:val="736"/>
        </w:rPr>
        <w:t xml:space="preserve">№ 191н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https://login.consultant.ru/link/?req=doc&amp;base=LAW&amp;n=450185&amp;date=28.01.2024&amp;dst=100387&amp;field=134 </w:instrText>
      </w:r>
      <w:r>
        <w:fldChar w:fldCharType="separate"/>
      </w:r>
      <w:r>
        <w:rPr>
          <w:rStyle w:val="736"/>
        </w:rPr>
        <w:t xml:space="preserve">157н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https://login.consultant.ru/link/?req=doc&amp;base=LAW&amp;n=448974&amp;date=28.01.2024&amp;dst=102158&amp;field=134 </w:instrText>
      </w:r>
      <w:r>
        <w:fldChar w:fldCharType="separate"/>
      </w:r>
      <w:r>
        <w:rPr>
          <w:rStyle w:val="736"/>
        </w:rPr>
        <w:t xml:space="preserve">162н</w:t>
      </w:r>
      <w:r>
        <w:fldChar w:fldCharType="end"/>
      </w:r>
      <w:r>
        <w:t xml:space="preserve">, положениями Федеральных стандартов                 № </w:t>
      </w:r>
      <w:r>
        <w:fldChar w:fldCharType="begin"/>
      </w:r>
      <w:r>
        <w:instrText xml:space="preserve">HYPERLINK https://login.consultant.ru/link/?req=doc&amp;base=LAW&amp;n=460116&amp;date=28.01.2024&amp;dst=100011&amp;field=134 </w:instrText>
      </w:r>
      <w:r>
        <w:fldChar w:fldCharType="separate"/>
      </w:r>
      <w:r>
        <w:rPr>
          <w:rStyle w:val="736"/>
        </w:rPr>
        <w:t xml:space="preserve">256н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https://login.consultant.ru/link/?req=doc&amp;base=LAW&amp;n=343977&amp;date=28.01.2024&amp;dst=100011&amp;field=134 </w:instrText>
      </w:r>
      <w:r>
        <w:fldChar w:fldCharType="separate"/>
      </w:r>
      <w:r>
        <w:rPr>
          <w:rStyle w:val="736"/>
        </w:rPr>
        <w:t xml:space="preserve">260н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https://login.consultant.ru/link/?req=doc&amp;base=LAW&amp;n=344754&amp;date=28.01.2024&amp;dst=100011&amp;field=134 </w:instrText>
      </w:r>
      <w:r>
        <w:fldChar w:fldCharType="separate"/>
      </w:r>
      <w:r>
        <w:rPr>
          <w:rStyle w:val="736"/>
        </w:rPr>
        <w:t xml:space="preserve">257н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https://login.consultant.ru/link/?req=doc&amp;base=LAW&amp;n=464999&amp;date=28.01.2024&amp;dst=100011&amp;field=134 </w:instrText>
      </w:r>
      <w:r>
        <w:fldChar w:fldCharType="separate"/>
      </w:r>
      <w:r>
        <w:rPr>
          <w:rStyle w:val="736"/>
        </w:rPr>
        <w:t xml:space="preserve">274н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https://login.consultant.ru/link/?req=doc&amp;base=LAW&amp;n=344539&amp;date=28.01.2024&amp;dst=100011&amp;field=134 </w:instrText>
      </w:r>
      <w:r>
        <w:fldChar w:fldCharType="separate"/>
      </w:r>
      <w:r>
        <w:rPr>
          <w:rStyle w:val="736"/>
        </w:rPr>
        <w:t xml:space="preserve">275н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https://login.consultant.ru/link/?req=doc&amp;base=LAW&amp;n=344064&amp;date=28.01.2024&amp;dst=100011&amp;field=134 </w:instrText>
      </w:r>
      <w:r>
        <w:fldChar w:fldCharType="separate"/>
      </w:r>
      <w:r>
        <w:rPr>
          <w:rStyle w:val="736"/>
        </w:rPr>
        <w:t xml:space="preserve">278н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https://login.consultant.ru/link/?req=doc&amp;base=LAW&amp;n=339804&amp;date=28.01.2024&amp;dst=100012&amp;field=134 </w:instrText>
      </w:r>
      <w:r>
        <w:fldChar w:fldCharType="separate"/>
      </w:r>
      <w:r>
        <w:rPr>
          <w:rStyle w:val="736"/>
        </w:rPr>
        <w:t xml:space="preserve">184н</w:t>
      </w:r>
      <w:r>
        <w:fldChar w:fldCharType="end"/>
      </w:r>
      <w:r>
        <w:t xml:space="preserve"> и других действующих нормативно- правовых актов, регулирующих ведение бюджетного учета и составление отчетности.</w:t>
      </w:r>
      <w:r/>
    </w:p>
    <w:p>
      <w:pPr>
        <w:pStyle w:val="719"/>
        <w:ind w:firstLine="709"/>
        <w:jc w:val="both"/>
      </w:pPr>
      <w:r>
        <w:t xml:space="preserve">Новых видов деятельности, которыми управление</w:t>
      </w:r>
      <w:r>
        <w:t xml:space="preserve"> и подведомственное учреждение</w:t>
      </w:r>
      <w:r>
        <w:t xml:space="preserve"> начало заниматься или которые прекратило вести в отчётном году не было, в связи с этим Сведения об основных направлениях деятельности субъектов бюджетной отчётности Таблица № 1 не заполняется.</w:t>
      </w:r>
      <w:r/>
    </w:p>
    <w:p>
      <w:pPr>
        <w:pStyle w:val="719"/>
        <w:ind w:firstLine="709"/>
        <w:jc w:val="center"/>
        <w:spacing w:line="260" w:lineRule="atLeast"/>
        <w:rPr>
          <w:b/>
        </w:rPr>
      </w:pPr>
      <w:r>
        <w:rPr>
          <w:b/>
        </w:rPr>
      </w:r>
      <w:r/>
    </w:p>
    <w:p>
      <w:pPr>
        <w:pStyle w:val="719"/>
        <w:ind w:firstLine="709"/>
        <w:jc w:val="center"/>
        <w:spacing w:line="260" w:lineRule="atLeast"/>
        <w:rPr>
          <w:b/>
        </w:rPr>
      </w:pPr>
      <w:r>
        <w:rPr>
          <w:b/>
        </w:rPr>
        <w:t xml:space="preserve">Раздел 2</w:t>
      </w:r>
      <w:r>
        <w:rPr>
          <w:b/>
        </w:rPr>
      </w:r>
      <w:r/>
    </w:p>
    <w:p>
      <w:pPr>
        <w:pStyle w:val="719"/>
        <w:ind w:firstLine="709"/>
        <w:jc w:val="center"/>
        <w:spacing w:line="260" w:lineRule="atLeast"/>
        <w:rPr>
          <w:b/>
        </w:rPr>
      </w:pPr>
      <w:r>
        <w:rPr>
          <w:b/>
        </w:rPr>
        <w:t xml:space="preserve">Результаты деятельности </w:t>
      </w:r>
      <w:r>
        <w:rPr>
          <w:b/>
        </w:rPr>
        <w:t xml:space="preserve">субъекта</w:t>
      </w:r>
      <w:r>
        <w:rPr>
          <w:b/>
        </w:rPr>
        <w:t xml:space="preserve"> бюджетной </w:t>
      </w:r>
      <w:r>
        <w:rPr>
          <w:b/>
        </w:rPr>
        <w:t xml:space="preserve">отчёт</w:t>
      </w:r>
      <w:r>
        <w:rPr>
          <w:b/>
        </w:rPr>
        <w:t xml:space="preserve">ности</w:t>
      </w:r>
      <w:r>
        <w:rPr>
          <w:b/>
        </w:rPr>
      </w:r>
      <w:r/>
    </w:p>
    <w:p>
      <w:pPr>
        <w:pStyle w:val="719"/>
        <w:ind w:firstLine="709"/>
        <w:jc w:val="center"/>
        <w:spacing w:line="260" w:lineRule="atLeast"/>
        <w:rPr>
          <w:b/>
        </w:rPr>
      </w:pPr>
      <w:r>
        <w:rPr>
          <w:b/>
        </w:rPr>
      </w:r>
      <w:r/>
    </w:p>
    <w:p>
      <w:pPr>
        <w:pStyle w:val="719"/>
        <w:ind w:firstLine="709"/>
        <w:jc w:val="both"/>
        <w:spacing w:line="260" w:lineRule="atLeast"/>
      </w:pPr>
      <w:r>
        <w:t xml:space="preserve">В целях повышения эффективности расходования средств местного бюджета (бюджета муниципального образования город Краснодар) </w:t>
      </w:r>
      <w:r>
        <w:t xml:space="preserve">управл</w:t>
      </w:r>
      <w:r>
        <w:t xml:space="preserve">е</w:t>
      </w:r>
      <w:r>
        <w:t xml:space="preserve">нием и</w:t>
      </w:r>
      <w:r>
        <w:t xml:space="preserve"> муниципал</w:t>
      </w:r>
      <w:r>
        <w:t xml:space="preserve">ь</w:t>
      </w:r>
      <w:r>
        <w:t xml:space="preserve">ным казённым учреждени</w:t>
      </w:r>
      <w:r>
        <w:t xml:space="preserve">ем</w:t>
      </w:r>
      <w:r>
        <w:t xml:space="preserve"> разработаны и утверждены </w:t>
      </w:r>
      <w:r>
        <w:t xml:space="preserve">правовые акты муниципального образования, приказы учрежд</w:t>
      </w:r>
      <w:r>
        <w:t xml:space="preserve">е</w:t>
      </w:r>
      <w:r>
        <w:t xml:space="preserve">ни</w:t>
      </w:r>
      <w:r>
        <w:t xml:space="preserve">я</w:t>
      </w:r>
      <w:r>
        <w:t xml:space="preserve">, устанавливающие нормы расходов, другие показатели, напра</w:t>
      </w:r>
      <w:r>
        <w:t xml:space="preserve">в</w:t>
      </w:r>
      <w:r>
        <w:t xml:space="preserve">ленные на экономное расходование бюджетных средств.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Бюджетные сметы составляются на основании доведенных управлению в установленном порядке лимитов бюджетных обязательств по расходам бюджета на принятие и (или) исполнение бюджетных обязательств по обеспечению вып</w:t>
      </w:r>
      <w:r>
        <w:t xml:space="preserve">олнения функций управления. При формировании бюджетной сметы расходов на очередной финансовый год и плановые периоды все включаемые показатели обоснованы нормативами и проведением анализа предыдущих и предстоящих расходов, проведением мониторинга закупок. 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Осуществление закупок производится в соответствии с Федеральным</w:t>
      </w:r>
      <w:r>
        <w:t xml:space="preserve"> законом «О контрактной системе в сфере закупок товаров, работ, услуг для обеспечения государственных и муниципальных нужд» от 05.07.201</w:t>
      </w:r>
      <w:r>
        <w:t xml:space="preserve">3 №44-ФЗ, приемка товаров, работ, услуг осуществляется в соответствии с условиями заключенных муниципальных контрактов. Муниципальные контракты предусматривают меры ответственности по неисполнению или несвоевременному исполнению обязательств по контрактам.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Определены требования к потребительским свойствам (в том числе качеству) и иным характеристикам (в том числе предельным ценам) товаров, работ, услуг. Разработан и утвержден перечень нормативных затрат на обеспечение функций управления.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В соответствии с утвержденным Планом-графиком закупок на 2023 г. за отчетный период заключено</w:t>
      </w:r>
      <w:r>
        <w:t xml:space="preserve">: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по </w:t>
      </w:r>
      <w:r>
        <w:t xml:space="preserve">управлению </w:t>
      </w:r>
      <w:r>
        <w:t xml:space="preserve">40 контрактов, в том числе по результатам конкурентных процедур заключено </w:t>
      </w:r>
      <w:r>
        <w:t xml:space="preserve">7</w:t>
      </w:r>
      <w:r>
        <w:t xml:space="preserve"> муниципальных контрактов</w:t>
      </w:r>
      <w:r>
        <w:t xml:space="preserve">, 1 контракт расторгнут по инициативе исполнителя, 6 муниципальных контрактов исполнено</w:t>
      </w:r>
      <w:r>
        <w:t xml:space="preserve"> на сумму 12 422 530,86 руб. из них: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- 3 муниципальных контракта на 7 833 049,81 руб., экономия составила                  3 066 949,99 руб. – по результатам электронных аукционов; 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- 3 муниципальных контракта на общую сумму 4 589 481,05 руб. по результатам запросов котировок в электронной форме, экономия составила - 948 775,70 руб.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 </w:t>
      </w:r>
      <w:r>
        <w:t xml:space="preserve">Э</w:t>
      </w:r>
      <w:r>
        <w:t xml:space="preserve">кономи</w:t>
      </w:r>
      <w:r>
        <w:t xml:space="preserve">я</w:t>
      </w:r>
      <w:r>
        <w:t xml:space="preserve">, образовавшейся по результатам конкурентных процедур, составила: 4 015 725,69 руб.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п</w:t>
      </w:r>
      <w:r>
        <w:t xml:space="preserve">о МКУ «Источник» заключен 141 </w:t>
      </w:r>
      <w:r>
        <w:t xml:space="preserve">контракт</w:t>
      </w:r>
      <w:r>
        <w:t xml:space="preserve"> </w:t>
      </w:r>
      <w:r>
        <w:t xml:space="preserve">в том числе по результатам конкурентных процедур заключено </w:t>
      </w:r>
      <w:r>
        <w:t xml:space="preserve">55 контрактов (</w:t>
      </w:r>
      <w:r>
        <w:t xml:space="preserve">запрос котировок в электронной форме</w:t>
      </w:r>
      <w:r>
        <w:t xml:space="preserve">) на сумму </w:t>
      </w:r>
      <w:r>
        <w:t xml:space="preserve">2 319 163,41</w:t>
      </w:r>
      <w:r>
        <w:t xml:space="preserve"> руб.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Экономия в результате применения конкурентных способов закупок </w:t>
      </w:r>
      <w:r>
        <w:t xml:space="preserve">по                      5</w:t>
      </w:r>
      <w:r>
        <w:t xml:space="preserve">3</w:t>
      </w:r>
      <w:r>
        <w:t xml:space="preserve"> контрактам </w:t>
      </w:r>
      <w:r>
        <w:t xml:space="preserve">составила 692 902,91 рублей</w:t>
      </w:r>
      <w:r>
        <w:t xml:space="preserve">.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Общая сумма экономии составила </w:t>
      </w:r>
      <w:r>
        <w:t xml:space="preserve">4 708 628,60</w:t>
      </w:r>
      <w:r>
        <w:t xml:space="preserve"> руб.</w:t>
      </w:r>
      <w:r/>
    </w:p>
    <w:p>
      <w:pPr>
        <w:pStyle w:val="719"/>
        <w:ind w:firstLine="709"/>
        <w:jc w:val="both"/>
      </w:pPr>
      <w:r>
        <w:t xml:space="preserve">П</w:t>
      </w:r>
      <w:r>
        <w:t xml:space="preserve">о состоянию на 01.01.202</w:t>
      </w:r>
      <w:r>
        <w:t xml:space="preserve">4</w:t>
      </w:r>
      <w:r>
        <w:t xml:space="preserve"> на балансе управления и подведомственного учреждения МКУ «Источник» числится основных средств на общую сумму</w:t>
      </w:r>
      <w:r>
        <w:t xml:space="preserve">                        </w:t>
      </w:r>
      <w:r>
        <w:t xml:space="preserve"> </w:t>
      </w:r>
      <w:r>
        <w:t xml:space="preserve">26 798 032,89 </w:t>
      </w:r>
      <w:r>
        <w:t xml:space="preserve">руб., остаточная стоимость составляет </w:t>
      </w:r>
      <w:r>
        <w:t xml:space="preserve">11 939 927,62 </w:t>
      </w:r>
      <w:r>
        <w:t xml:space="preserve">руб.</w:t>
      </w:r>
      <w:r/>
    </w:p>
    <w:p>
      <w:pPr>
        <w:pStyle w:val="719"/>
        <w:ind w:firstLine="709"/>
        <w:jc w:val="both"/>
      </w:pPr>
      <w:r>
        <w:t xml:space="preserve">О</w:t>
      </w:r>
      <w:r>
        <w:t xml:space="preserve">сновные фонды находятся в рабочем состоянии и эффективно и</w:t>
      </w:r>
      <w:r>
        <w:t xml:space="preserve">с</w:t>
      </w:r>
      <w:r>
        <w:t xml:space="preserve">пользуются по назнач</w:t>
      </w:r>
      <w:r>
        <w:t xml:space="preserve">е</w:t>
      </w:r>
      <w:r>
        <w:t xml:space="preserve">нию.</w:t>
      </w:r>
      <w:r/>
    </w:p>
    <w:p>
      <w:pPr>
        <w:pStyle w:val="719"/>
        <w:ind w:firstLine="709"/>
        <w:jc w:val="both"/>
        <w:rPr>
          <w:color w:val="000000"/>
        </w:rPr>
      </w:pPr>
      <w:r>
        <w:rPr>
          <w:color w:val="000000"/>
        </w:rPr>
        <w:t xml:space="preserve">Д</w:t>
      </w:r>
      <w:r>
        <w:rPr>
          <w:color w:val="000000"/>
        </w:rPr>
        <w:t xml:space="preserve">ля поддержания технического состояния основных средств проводилось их плановое техническое обслуживание. 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Права пользования активами по состоянию на 01.01.</w:t>
      </w:r>
      <w:r>
        <w:t xml:space="preserve">202</w:t>
      </w:r>
      <w:r>
        <w:t xml:space="preserve">4</w:t>
      </w:r>
      <w:r>
        <w:t xml:space="preserve"> составляют</w:t>
      </w:r>
      <w:r>
        <w:t xml:space="preserve"> </w:t>
      </w:r>
      <w:r>
        <w:t xml:space="preserve">                </w:t>
      </w:r>
      <w:r>
        <w:t xml:space="preserve"> </w:t>
      </w:r>
      <w:r>
        <w:t xml:space="preserve">142</w:t>
      </w:r>
      <w:r>
        <w:t xml:space="preserve"> 200</w:t>
      </w:r>
      <w:r>
        <w:t xml:space="preserve">,0 </w:t>
      </w:r>
      <w:r>
        <w:t xml:space="preserve">руб.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В целях сохранности нефинансовых материальных и нематериальных активов ежегодно проводится плановая инвентаризация перед составлением годовой отчётности.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Материальны</w:t>
      </w:r>
      <w:r>
        <w:t xml:space="preserve">х</w:t>
      </w:r>
      <w:r>
        <w:t xml:space="preserve"> запас</w:t>
      </w:r>
      <w:r>
        <w:t xml:space="preserve">ов </w:t>
      </w:r>
      <w:r>
        <w:t xml:space="preserve">на балансе управления и подведомственного учреждения МКУ «Источник» числится </w:t>
      </w:r>
      <w:r>
        <w:t xml:space="preserve">на 01.01.202</w:t>
      </w:r>
      <w:r>
        <w:t xml:space="preserve">4</w:t>
      </w:r>
      <w:r>
        <w:t xml:space="preserve"> на сумму </w:t>
      </w:r>
      <w:r>
        <w:t xml:space="preserve">1 426 450,98</w:t>
      </w:r>
      <w:r>
        <w:t xml:space="preserve"> </w:t>
      </w:r>
      <w:r>
        <w:t xml:space="preserve">руб.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В целях обеспечения сохранности, все материальные ценности закреплены за ответственными лицами.</w:t>
      </w:r>
      <w:r/>
    </w:p>
    <w:p>
      <w:pPr>
        <w:pStyle w:val="719"/>
        <w:ind w:firstLine="709"/>
        <w:jc w:val="both"/>
        <w:spacing w:line="260" w:lineRule="atLeast"/>
      </w:pPr>
      <w:r>
        <w:rPr>
          <w:color w:val="000000"/>
        </w:rPr>
        <w:t xml:space="preserve">Объектов аренды нет. Подробная информация об обеспеченности основными </w:t>
      </w:r>
      <w:r>
        <w:rPr>
          <w:color w:val="000000"/>
        </w:rPr>
        <w:t xml:space="preserve">фондами, их</w:t>
      </w:r>
      <w:r>
        <w:rPr>
          <w:color w:val="000000"/>
        </w:rPr>
        <w:t xml:space="preserve"> техническим </w:t>
      </w:r>
      <w:r>
        <w:rPr>
          <w:color w:val="000000"/>
        </w:rPr>
        <w:t xml:space="preserve">состоянии, эффективности</w:t>
      </w:r>
      <w:r>
        <w:rPr>
          <w:color w:val="000000"/>
        </w:rPr>
        <w:t xml:space="preserve"> </w:t>
      </w:r>
      <w:r>
        <w:rPr>
          <w:color w:val="000000"/>
        </w:rPr>
        <w:t xml:space="preserve">использования, характеристиках</w:t>
      </w:r>
      <w:r>
        <w:rPr>
          <w:color w:val="000000"/>
        </w:rPr>
        <w:t xml:space="preserve"> комплектности и основных мероприятиях по улучшению их состояния и сохранности отражена в таблице №12 пояснительной записки</w:t>
      </w:r>
      <w:r>
        <w:rPr>
          <w:color w:val="000000"/>
        </w:rPr>
        <w:t xml:space="preserve">.</w:t>
      </w:r>
      <w:r/>
    </w:p>
    <w:p>
      <w:pPr>
        <w:pStyle w:val="719"/>
        <w:ind w:firstLine="709"/>
        <w:jc w:val="both"/>
        <w:spacing w:line="260" w:lineRule="atLeast"/>
        <w:rPr>
          <w:color w:val="000000"/>
        </w:rPr>
      </w:pPr>
      <w:r>
        <w:rPr>
          <w:color w:val="000000"/>
        </w:rPr>
        <w:t xml:space="preserve">Штатное расписание управления утверждается распоряжением администрацией муниципального образования город Краснодар и по состоянию на 01.01.202</w:t>
      </w:r>
      <w:r>
        <w:rPr>
          <w:color w:val="000000"/>
        </w:rPr>
        <w:t xml:space="preserve">4</w:t>
      </w:r>
      <w:r>
        <w:rPr>
          <w:color w:val="000000"/>
        </w:rPr>
        <w:t xml:space="preserve"> </w:t>
      </w:r>
      <w:r>
        <w:rPr>
          <w:color w:val="000000"/>
        </w:rPr>
        <w:t xml:space="preserve">включает </w:t>
      </w:r>
      <w:r>
        <w:rPr>
          <w:color w:val="000000"/>
        </w:rPr>
        <w:t xml:space="preserve">35</w:t>
      </w:r>
      <w:r>
        <w:rPr>
          <w:color w:val="000000"/>
        </w:rPr>
        <w:t xml:space="preserve"> штатных единиц</w:t>
      </w:r>
      <w:r>
        <w:rPr>
          <w:color w:val="000000"/>
        </w:rPr>
        <w:t xml:space="preserve">ы</w:t>
      </w:r>
      <w:r>
        <w:rPr>
          <w:color w:val="000000"/>
        </w:rPr>
        <w:t xml:space="preserve">, фактически замещено</w:t>
      </w:r>
      <w:r>
        <w:rPr>
          <w:color w:val="000000"/>
        </w:rPr>
        <w:t xml:space="preserve"> </w:t>
      </w:r>
      <w:r>
        <w:rPr>
          <w:color w:val="000000"/>
        </w:rPr>
        <w:t xml:space="preserve">33</w:t>
      </w:r>
      <w:r>
        <w:rPr>
          <w:color w:val="000000"/>
        </w:rPr>
        <w:t xml:space="preserve"> </w:t>
      </w:r>
      <w:r>
        <w:rPr>
          <w:color w:val="000000"/>
        </w:rPr>
        <w:t xml:space="preserve">штатных единиц</w:t>
      </w:r>
      <w:r>
        <w:rPr>
          <w:color w:val="000000"/>
        </w:rPr>
        <w:t xml:space="preserve">.</w:t>
      </w:r>
      <w:r>
        <w:rPr>
          <w:color w:val="000000"/>
        </w:rPr>
        <w:t xml:space="preserve"> В 2023 год</w:t>
      </w:r>
      <w:r>
        <w:rPr>
          <w:color w:val="000000"/>
        </w:rPr>
        <w:t xml:space="preserve">у</w:t>
      </w:r>
      <w:r>
        <w:rPr>
          <w:color w:val="000000"/>
        </w:rPr>
        <w:t xml:space="preserve"> </w:t>
      </w:r>
      <w:r>
        <w:rPr>
          <w:color w:val="000000"/>
        </w:rPr>
        <w:t xml:space="preserve">штатная численность</w:t>
      </w:r>
      <w:r>
        <w:rPr>
          <w:color w:val="000000"/>
        </w:rPr>
        <w:t xml:space="preserve"> </w:t>
      </w:r>
      <w:r>
        <w:rPr>
          <w:color w:val="000000"/>
        </w:rPr>
        <w:t xml:space="preserve">была уменьшена </w:t>
      </w:r>
      <w:r>
        <w:rPr>
          <w:color w:val="000000"/>
        </w:rPr>
        <w:t xml:space="preserve">на 7 единиц </w:t>
      </w:r>
      <w:r>
        <w:rPr>
          <w:color w:val="000000"/>
        </w:rPr>
        <w:t xml:space="preserve">по сравнению с 2022 годом.</w:t>
      </w:r>
      <w:r>
        <w:rPr>
          <w:color w:val="000000"/>
        </w:rPr>
      </w:r>
      <w:r/>
    </w:p>
    <w:p>
      <w:pPr>
        <w:pStyle w:val="719"/>
        <w:ind w:firstLine="709"/>
        <w:jc w:val="both"/>
        <w:spacing w:line="260" w:lineRule="atLeast"/>
        <w:rPr>
          <w:color w:val="000000"/>
        </w:rPr>
      </w:pPr>
      <w:r>
        <w:rPr>
          <w:color w:val="000000"/>
        </w:rPr>
        <w:t xml:space="preserve">Штатное расписание М</w:t>
      </w:r>
      <w:r>
        <w:rPr>
          <w:color w:val="000000"/>
        </w:rPr>
        <w:t xml:space="preserve">КУ</w:t>
      </w:r>
      <w:r>
        <w:rPr>
          <w:color w:val="000000"/>
        </w:rPr>
        <w:t xml:space="preserve"> «Источник»» по состоянию на 01.01.202</w:t>
      </w:r>
      <w:r>
        <w:rPr>
          <w:color w:val="000000"/>
        </w:rPr>
        <w:t xml:space="preserve">4</w:t>
      </w:r>
      <w:r>
        <w:rPr>
          <w:color w:val="000000"/>
        </w:rPr>
        <w:t xml:space="preserve"> включает 25 штатных единиц. </w:t>
      </w:r>
      <w:r/>
    </w:p>
    <w:p>
      <w:pPr>
        <w:pStyle w:val="719"/>
        <w:ind w:firstLine="709"/>
        <w:jc w:val="both"/>
        <w:spacing w:line="260" w:lineRule="atLeast"/>
        <w:rPr>
          <w:color w:val="000000"/>
        </w:rPr>
      </w:pPr>
      <w:r>
        <w:rPr>
          <w:color w:val="000000"/>
        </w:rPr>
        <w:t xml:space="preserve">Структура МКУ «Источник» по состоянию на 01.01.202</w:t>
      </w:r>
      <w:r>
        <w:rPr>
          <w:color w:val="000000"/>
        </w:rPr>
        <w:t xml:space="preserve">4</w:t>
      </w:r>
      <w:r>
        <w:rPr>
          <w:color w:val="000000"/>
        </w:rPr>
        <w:t xml:space="preserve"> составляют</w:t>
      </w:r>
      <w:r>
        <w:rPr>
          <w:color w:val="000000"/>
        </w:rPr>
        <w:t xml:space="preserve"> </w:t>
      </w:r>
      <w:r>
        <w:rPr>
          <w:color w:val="000000"/>
        </w:rPr>
        <w:t xml:space="preserve">д</w:t>
      </w:r>
      <w:r>
        <w:rPr>
          <w:color w:val="000000"/>
        </w:rPr>
        <w:t xml:space="preserve">олжности специалистов и служащих – 13 единиц;</w:t>
      </w:r>
      <w:r>
        <w:rPr>
          <w:color w:val="000000"/>
        </w:rPr>
        <w:t xml:space="preserve"> р</w:t>
      </w:r>
      <w:r>
        <w:rPr>
          <w:color w:val="000000"/>
        </w:rPr>
        <w:t xml:space="preserve">абочие должности -12 единиц</w:t>
      </w:r>
      <w:r>
        <w:rPr>
          <w:color w:val="000000"/>
        </w:rPr>
        <w:t xml:space="preserve">.</w:t>
      </w:r>
      <w:r>
        <w:rPr>
          <w:color w:val="000000"/>
        </w:rPr>
      </w:r>
      <w:r/>
    </w:p>
    <w:p>
      <w:pPr>
        <w:pStyle w:val="719"/>
        <w:ind w:firstLine="709"/>
        <w:jc w:val="both"/>
        <w:spacing w:line="260" w:lineRule="atLeast"/>
        <w:rPr>
          <w:color w:val="000000"/>
        </w:rPr>
      </w:pPr>
      <w:r>
        <w:rPr>
          <w:color w:val="000000"/>
        </w:rPr>
        <w:t xml:space="preserve">Фактическая </w:t>
      </w:r>
      <w:r>
        <w:rPr>
          <w:color w:val="000000"/>
        </w:rPr>
        <w:t xml:space="preserve">среднесписочная </w:t>
      </w:r>
      <w:r>
        <w:rPr>
          <w:color w:val="000000"/>
        </w:rPr>
        <w:t xml:space="preserve">численность по состоянию на </w:t>
      </w:r>
      <w:r>
        <w:rPr>
          <w:color w:val="000000"/>
        </w:rPr>
        <w:t xml:space="preserve">01.01.202</w:t>
      </w:r>
      <w:r>
        <w:rPr>
          <w:color w:val="000000"/>
        </w:rPr>
        <w:t xml:space="preserve">4</w:t>
      </w:r>
      <w:r>
        <w:rPr>
          <w:color w:val="000000"/>
        </w:rPr>
        <w:t xml:space="preserve"> </w:t>
      </w:r>
      <w:r>
        <w:rPr>
          <w:color w:val="000000"/>
        </w:rPr>
        <w:t xml:space="preserve">составляет 2</w:t>
      </w:r>
      <w:r>
        <w:rPr>
          <w:color w:val="000000"/>
        </w:rPr>
        <w:t xml:space="preserve">0</w:t>
      </w:r>
      <w:r>
        <w:rPr>
          <w:color w:val="000000"/>
        </w:rPr>
        <w:t xml:space="preserve"> человек из них 12 человек</w:t>
      </w:r>
      <w:r>
        <w:rPr>
          <w:color w:val="000000"/>
        </w:rPr>
        <w:t xml:space="preserve"> -</w:t>
      </w:r>
      <w:r>
        <w:rPr>
          <w:color w:val="000000"/>
        </w:rPr>
        <w:t xml:space="preserve">должности специалисты и </w:t>
      </w:r>
      <w:r>
        <w:rPr>
          <w:color w:val="000000"/>
        </w:rPr>
        <w:t xml:space="preserve">служащие,</w:t>
      </w:r>
      <w:r>
        <w:rPr>
          <w:color w:val="000000"/>
        </w:rPr>
        <w:t xml:space="preserve"> </w:t>
      </w:r>
      <w:r>
        <w:rPr>
          <w:color w:val="000000"/>
        </w:rPr>
        <w:t xml:space="preserve">8</w:t>
      </w:r>
      <w:r>
        <w:rPr>
          <w:color w:val="000000"/>
        </w:rPr>
        <w:t xml:space="preserve"> человек </w:t>
      </w:r>
      <w:r>
        <w:rPr>
          <w:color w:val="000000"/>
        </w:rPr>
        <w:t xml:space="preserve">-</w:t>
      </w:r>
      <w:r>
        <w:rPr>
          <w:color w:val="000000"/>
        </w:rPr>
        <w:t xml:space="preserve"> рабочие должности</w:t>
      </w:r>
      <w:r>
        <w:rPr>
          <w:color w:val="000000"/>
        </w:rPr>
        <w:t xml:space="preserve">.</w:t>
      </w:r>
      <w:r>
        <w:rPr>
          <w:color w:val="000000"/>
        </w:rPr>
      </w:r>
      <w:r/>
    </w:p>
    <w:p>
      <w:pPr>
        <w:pStyle w:val="719"/>
        <w:ind w:firstLine="709"/>
        <w:jc w:val="both"/>
        <w:spacing w:line="260" w:lineRule="atLeast"/>
        <w:rPr>
          <w:color w:val="000000"/>
        </w:rPr>
      </w:pPr>
      <w:r>
        <w:rPr>
          <w:color w:val="000000"/>
        </w:rPr>
        <w:t xml:space="preserve">Управление </w:t>
      </w:r>
      <w:r>
        <w:rPr>
          <w:color w:val="000000"/>
        </w:rPr>
        <w:t xml:space="preserve">является координатором и исполнителем программы «Социальная поддержка граждан муниципального образования город Краснодар»</w:t>
      </w:r>
      <w:r>
        <w:rPr>
          <w:color w:val="000000"/>
        </w:rPr>
        <w:t xml:space="preserve">.</w:t>
      </w:r>
      <w:r>
        <w:rPr>
          <w:color w:val="000000"/>
        </w:rPr>
      </w:r>
      <w:r/>
    </w:p>
    <w:p>
      <w:pPr>
        <w:pStyle w:val="719"/>
        <w:ind w:firstLine="709"/>
        <w:jc w:val="both"/>
        <w:spacing w:line="260" w:lineRule="atLeast"/>
        <w:rPr>
          <w:bCs/>
          <w:spacing w:val="2"/>
        </w:rPr>
      </w:pPr>
      <w:r>
        <w:rPr>
          <w:bCs/>
          <w:spacing w:val="2"/>
        </w:rPr>
        <w:t xml:space="preserve">По подпрограмме «Дополнительные меры социальной помощи и социальной поддержки отдельных категорий граждан» за 2023 год реализованы следующие мероприятия:</w:t>
      </w:r>
      <w:r/>
    </w:p>
    <w:p>
      <w:pPr>
        <w:pStyle w:val="719"/>
        <w:ind w:firstLine="709"/>
        <w:jc w:val="both"/>
        <w:spacing w:line="260" w:lineRule="atLeast"/>
        <w:rPr>
          <w:bCs/>
          <w:spacing w:val="2"/>
        </w:rPr>
      </w:pPr>
      <w:r>
        <w:rPr>
          <w:bCs/>
          <w:spacing w:val="2"/>
        </w:rPr>
        <w:t xml:space="preserve">назначена и выплачена ежемесячная денежная выплата 85 Почётному гражданину города Краснодара, пережившим супругам Почётных граждан города Краснодара в сумме 16 962,5 тыс. рублей;</w:t>
      </w:r>
      <w:r/>
    </w:p>
    <w:p>
      <w:pPr>
        <w:pStyle w:val="719"/>
        <w:ind w:firstLine="709"/>
        <w:jc w:val="both"/>
        <w:spacing w:line="260" w:lineRule="atLeast"/>
        <w:rPr>
          <w:bCs/>
          <w:spacing w:val="2"/>
        </w:rPr>
      </w:pPr>
      <w:r>
        <w:rPr>
          <w:bCs/>
          <w:spacing w:val="2"/>
        </w:rPr>
        <w:t xml:space="preserve">назначена и выплачена ежегодная денежная компенсация расходов, фактически понесённых за санаторно-курортное лечение 2 Почётным гражданам города Краснодара в сумме 174,3 тыс. рублей;</w:t>
      </w:r>
      <w:r/>
    </w:p>
    <w:p>
      <w:pPr>
        <w:pStyle w:val="719"/>
        <w:ind w:firstLine="709"/>
        <w:jc w:val="both"/>
        <w:spacing w:line="260" w:lineRule="atLeast"/>
        <w:rPr>
          <w:bCs/>
          <w:spacing w:val="2"/>
        </w:rPr>
      </w:pPr>
      <w:r>
        <w:rPr>
          <w:bCs/>
          <w:spacing w:val="2"/>
        </w:rPr>
        <w:t xml:space="preserve">назначена и выплачена компенсация расходов на погребение 4 Почётных граждан города Краснодара в сумме 426,6 тыс. рублей;</w:t>
      </w:r>
      <w:r/>
    </w:p>
    <w:p>
      <w:pPr>
        <w:pStyle w:val="719"/>
        <w:ind w:firstLine="709"/>
        <w:jc w:val="both"/>
        <w:spacing w:line="260" w:lineRule="atLeast"/>
        <w:rPr>
          <w:bCs/>
          <w:spacing w:val="2"/>
        </w:rPr>
      </w:pPr>
      <w:r>
        <w:rPr>
          <w:bCs/>
          <w:spacing w:val="2"/>
        </w:rPr>
        <w:t xml:space="preserve">назначена и выплачена компенсация расходов на погребение 1 вдовы Героя Советского Союза, Героев Российской Федерации и полных кавалеров ордена Славы в сумме 25,0 тыс. рублей;</w:t>
      </w:r>
      <w:r/>
    </w:p>
    <w:p>
      <w:pPr>
        <w:pStyle w:val="719"/>
        <w:ind w:firstLine="709"/>
        <w:jc w:val="both"/>
        <w:spacing w:line="260" w:lineRule="atLeast"/>
        <w:rPr>
          <w:bCs/>
          <w:spacing w:val="2"/>
        </w:rPr>
      </w:pPr>
      <w:r>
        <w:rPr>
          <w:bCs/>
          <w:spacing w:val="2"/>
        </w:rPr>
        <w:t xml:space="preserve">назначена и выплачена единовременная денежная выплата (ЕДВ) 1785 малоимущим многодетным семьям в сумме 15 550,7 тыс. рублей;</w:t>
      </w:r>
      <w:r/>
    </w:p>
    <w:p>
      <w:pPr>
        <w:pStyle w:val="719"/>
        <w:ind w:firstLine="709"/>
        <w:jc w:val="both"/>
        <w:spacing w:line="260" w:lineRule="atLeast"/>
        <w:rPr>
          <w:bCs/>
          <w:spacing w:val="2"/>
        </w:rPr>
      </w:pPr>
      <w:r>
        <w:rPr>
          <w:bCs/>
          <w:spacing w:val="2"/>
        </w:rPr>
        <w:t xml:space="preserve">назначены и выплачены пенсии за выслугу лет лицам, замещавшим муниципальные должности и должности муниципальной службы в муниципальном образовании город Краснодар 449 получателям в сумме 112 981,5 тыс. рублей;</w:t>
      </w:r>
      <w:r/>
    </w:p>
    <w:p>
      <w:pPr>
        <w:pStyle w:val="719"/>
        <w:ind w:firstLine="709"/>
        <w:jc w:val="both"/>
        <w:spacing w:line="260" w:lineRule="atLeast"/>
        <w:rPr>
          <w:bCs/>
          <w:spacing w:val="2"/>
        </w:rPr>
      </w:pPr>
      <w:r>
        <w:rPr>
          <w:bCs/>
          <w:spacing w:val="2"/>
        </w:rPr>
        <w:t xml:space="preserve">вручено 18700 шт. новогодних подарочных наборов детям, нуждающимся в особой заботе государства, в том числе из социально незащищённых </w:t>
      </w:r>
      <w:r>
        <w:rPr>
          <w:bCs/>
          <w:spacing w:val="2"/>
        </w:rPr>
        <w:t xml:space="preserve">семей, из семей работников бюджетной сферы, семей активистов социально ориентированных                некоммерческих организаций, участвующих в общественно-политической жизни города, проживающих на территории Краснодара на общую сумму 8 078,4 тыс. рублей. </w:t>
      </w:r>
      <w:r/>
    </w:p>
    <w:p>
      <w:pPr>
        <w:pStyle w:val="719"/>
        <w:ind w:firstLine="709"/>
        <w:jc w:val="both"/>
        <w:spacing w:line="260" w:lineRule="atLeast"/>
        <w:rPr>
          <w:bCs/>
          <w:spacing w:val="2"/>
        </w:rPr>
      </w:pPr>
      <w:r>
        <w:rPr>
          <w:bCs/>
          <w:spacing w:val="2"/>
        </w:rPr>
        <w:t xml:space="preserve">В рамках подпрограммы «Старшее поколение» реализованы в 2023 году следующие мероприятия:</w:t>
      </w:r>
      <w:r/>
    </w:p>
    <w:p>
      <w:pPr>
        <w:pStyle w:val="719"/>
        <w:ind w:firstLine="709"/>
        <w:jc w:val="both"/>
        <w:spacing w:line="260" w:lineRule="atLeast"/>
        <w:rPr>
          <w:bCs/>
          <w:spacing w:val="2"/>
        </w:rPr>
      </w:pPr>
      <w:r>
        <w:rPr>
          <w:bCs/>
          <w:spacing w:val="2"/>
        </w:rPr>
        <w:t xml:space="preserve">реализована дополнительная мера социальной под</w:t>
      </w:r>
      <w:r>
        <w:rPr>
          <w:bCs/>
          <w:spacing w:val="2"/>
        </w:rPr>
        <w:t xml:space="preserve">держки в виде отдыха и оздоровления 300 граждан старшего поколения на Черноморском побережье Краснодарского края. В сентябре-октябре 2023 года указанным гражданам был организован отдых в санатории «Малая бухта» г. Анапа на общую сумму 4 305,0 тыс. рублей. </w:t>
      </w:r>
      <w:r/>
    </w:p>
    <w:p>
      <w:pPr>
        <w:pStyle w:val="719"/>
        <w:ind w:firstLine="709"/>
        <w:jc w:val="both"/>
        <w:spacing w:line="260" w:lineRule="atLeast"/>
        <w:rPr>
          <w:bCs/>
          <w:spacing w:val="2"/>
        </w:rPr>
      </w:pPr>
      <w:r>
        <w:rPr>
          <w:bCs/>
          <w:spacing w:val="2"/>
        </w:rPr>
        <w:t xml:space="preserve">проведено 3 мероприятия: приуроченных к празднованию Дня социального работника, Международного дня пожилых людей, Международного дня инвалида в рамках которых были вручены ценные подарки и благодарственные письма. </w:t>
      </w:r>
      <w:r/>
    </w:p>
    <w:p>
      <w:pPr>
        <w:pStyle w:val="719"/>
        <w:ind w:firstLine="709"/>
        <w:jc w:val="both"/>
        <w:spacing w:line="260" w:lineRule="atLeast"/>
        <w:rPr>
          <w:bCs/>
          <w:spacing w:val="2"/>
        </w:rPr>
      </w:pPr>
      <w:r>
        <w:rPr>
          <w:bCs/>
          <w:spacing w:val="2"/>
        </w:rPr>
        <w:t xml:space="preserve">Управление является координатором муниципальной программы муниципального образования город Краснодар «Содействие занятости населения муниципального образования город Краснодар», в р</w:t>
      </w:r>
      <w:r>
        <w:rPr>
          <w:bCs/>
          <w:spacing w:val="2"/>
        </w:rPr>
        <w:t xml:space="preserve">амках программы проводится мероприятие по подготовке и награждению победителей общегородского отраслевого конкурса «Лучший специалист города Краснодара», на данное мероприятие израсходовано 265,5 тыс. рублей. Награждено 49 победителей отраслевого конкурса.</w:t>
      </w:r>
      <w:r>
        <w:rPr>
          <w:bCs/>
          <w:spacing w:val="2"/>
        </w:rPr>
      </w:r>
      <w:r/>
    </w:p>
    <w:p>
      <w:pPr>
        <w:pStyle w:val="719"/>
        <w:ind w:firstLine="709"/>
        <w:jc w:val="both"/>
        <w:spacing w:line="260" w:lineRule="atLeast"/>
        <w:rPr>
          <w:bCs/>
          <w:spacing w:val="2"/>
        </w:rPr>
      </w:pPr>
      <w:r>
        <w:rPr>
          <w:bCs/>
          <w:spacing w:val="2"/>
        </w:rPr>
        <w:t xml:space="preserve">МКУ </w:t>
      </w:r>
      <w:r>
        <w:rPr>
          <w:bCs/>
          <w:spacing w:val="2"/>
        </w:rPr>
        <w:t xml:space="preserve">«</w:t>
      </w:r>
      <w:r>
        <w:rPr>
          <w:bCs/>
          <w:spacing w:val="2"/>
        </w:rPr>
        <w:t xml:space="preserve">Источник</w:t>
      </w:r>
      <w:r>
        <w:rPr>
          <w:bCs/>
          <w:spacing w:val="2"/>
        </w:rPr>
        <w:t xml:space="preserve">»</w:t>
      </w:r>
      <w:r>
        <w:rPr>
          <w:bCs/>
          <w:spacing w:val="2"/>
        </w:rPr>
        <w:t xml:space="preserve"> в рамках меры социальной поддержки граждан, проживающих на тер</w:t>
      </w:r>
      <w:r>
        <w:rPr>
          <w:bCs/>
          <w:spacing w:val="2"/>
        </w:rPr>
        <w:t xml:space="preserve">ритории муниципального образования город Краснодар, достигших возраста 55 лет для женщин и 60 лет для мужчин, активно участвующих в общественной жизни муниципального образования город Краснодар, в 2023 году принял 557 человек. Ими проведено 7543 койко-дней</w:t>
      </w:r>
      <w:r/>
    </w:p>
    <w:p>
      <w:pPr>
        <w:pStyle w:val="719"/>
        <w:ind w:firstLine="709"/>
        <w:jc w:val="both"/>
        <w:spacing w:line="260" w:lineRule="atLeast"/>
        <w:rPr>
          <w:color w:val="000000"/>
        </w:rPr>
      </w:pPr>
      <w:r>
        <w:rPr>
          <w:color w:val="000000"/>
        </w:rPr>
        <w:t xml:space="preserve">Прошли повышение квалификации сотрудники управления по образовательной программе:</w:t>
      </w:r>
      <w:r/>
    </w:p>
    <w:p>
      <w:pPr>
        <w:pStyle w:val="719"/>
        <w:ind w:firstLine="709"/>
        <w:jc w:val="both"/>
        <w:spacing w:line="260" w:lineRule="atLeast"/>
        <w:rPr>
          <w:color w:val="000000"/>
        </w:rPr>
      </w:pPr>
      <w:r>
        <w:rPr>
          <w:color w:val="000000"/>
        </w:rPr>
        <w:t xml:space="preserve">«Первичные документы и электронный документооборот в организациях бюджетной сферы» - 3 чел. на сумму 15</w:t>
      </w:r>
      <w:r>
        <w:rPr>
          <w:color w:val="000000"/>
        </w:rPr>
        <w:t xml:space="preserve"> 660,0</w:t>
      </w:r>
      <w:r>
        <w:rPr>
          <w:color w:val="000000"/>
        </w:rPr>
        <w:t xml:space="preserve"> рублей.</w:t>
      </w:r>
      <w:r/>
    </w:p>
    <w:p>
      <w:pPr>
        <w:pStyle w:val="719"/>
        <w:ind w:firstLine="709"/>
        <w:jc w:val="both"/>
        <w:spacing w:line="260" w:lineRule="atLeast"/>
      </w:pPr>
      <w:r>
        <w:rPr>
          <w:color w:val="000000"/>
        </w:rPr>
        <w:t xml:space="preserve">В МКУ «Источник» в 2023 году были направлены на краткосрочное обучение, повысили свою квалификацию по разным направлениям деятельности, посетили семинары –12 сотрудников, расходы на эти цели составили -   11 293,15 рублей, в том числе:</w:t>
      </w:r>
      <w:r>
        <w:rPr>
          <w:color w:val="000000"/>
        </w:rPr>
        <w:t xml:space="preserve"> </w:t>
      </w:r>
      <w:r>
        <w:t xml:space="preserve">«</w:t>
      </w:r>
      <w:r>
        <w:t xml:space="preserve">Профессиональная гигиеническая </w:t>
      </w:r>
      <w:r>
        <w:t xml:space="preserve">подготовк</w:t>
      </w:r>
      <w:r>
        <w:t xml:space="preserve">а</w:t>
      </w:r>
      <w:r>
        <w:t xml:space="preserve">» - 4 чел. на сумму </w:t>
      </w:r>
      <w:r>
        <w:t xml:space="preserve">1</w:t>
      </w:r>
      <w:r>
        <w:t xml:space="preserve"> </w:t>
      </w:r>
      <w:r>
        <w:t xml:space="preserve">993,15 </w:t>
      </w:r>
      <w:r>
        <w:t xml:space="preserve">руб.;</w:t>
      </w:r>
      <w:r>
        <w:t xml:space="preserve"> </w:t>
      </w:r>
      <w:r>
        <w:t xml:space="preserve">«</w:t>
      </w:r>
      <w:r>
        <w:t xml:space="preserve">Обучение по программе «Антикоррупционной деятельности»</w:t>
      </w:r>
      <w:r>
        <w:t xml:space="preserve"> - </w:t>
      </w:r>
      <w:r>
        <w:t xml:space="preserve">2</w:t>
      </w:r>
      <w:r>
        <w:t xml:space="preserve"> чел.</w:t>
      </w:r>
      <w:r>
        <w:t xml:space="preserve"> </w:t>
      </w:r>
      <w:r>
        <w:t xml:space="preserve">на </w:t>
      </w:r>
      <w:r>
        <w:t xml:space="preserve">           </w:t>
      </w:r>
      <w:r>
        <w:t xml:space="preserve">4</w:t>
      </w:r>
      <w:r>
        <w:t xml:space="preserve"> </w:t>
      </w:r>
      <w:r>
        <w:t xml:space="preserve">400,00</w:t>
      </w:r>
      <w:r>
        <w:t xml:space="preserve"> </w:t>
      </w:r>
      <w:r>
        <w:t xml:space="preserve">руб.;</w:t>
      </w:r>
      <w:r>
        <w:t xml:space="preserve"> </w:t>
      </w:r>
      <w:r>
        <w:t xml:space="preserve">«</w:t>
      </w:r>
      <w:r>
        <w:t xml:space="preserve">Обучение по общим вопросам охраны труда и функционирования системы управления охраной труда» - 2</w:t>
      </w:r>
      <w:r>
        <w:t xml:space="preserve"> чел. на сумму </w:t>
      </w:r>
      <w:r>
        <w:t xml:space="preserve">1800,0 руб.; «Основы гражданской обороны и защиты от чрезвычайных ситуаций» -1 чел. на сумму 1500,0 руб.; «Подготовка преподавателей, обучающихся приемам оказания первой помощи» - 1 чел. – 1600,0 руб.</w:t>
      </w:r>
      <w:r/>
    </w:p>
    <w:p>
      <w:pPr>
        <w:pStyle w:val="719"/>
        <w:ind w:firstLine="709"/>
        <w:jc w:val="both"/>
        <w:spacing w:line="260" w:lineRule="atLeast"/>
      </w:pPr>
      <w:r/>
      <w:r/>
    </w:p>
    <w:p>
      <w:pPr>
        <w:pStyle w:val="719"/>
        <w:ind w:firstLine="709"/>
        <w:jc w:val="center"/>
        <w:spacing w:line="260" w:lineRule="atLeast"/>
        <w:rPr>
          <w:b/>
        </w:rPr>
      </w:pPr>
      <w:r>
        <w:rPr>
          <w:b/>
        </w:rPr>
        <w:t xml:space="preserve">Раздел 3</w:t>
      </w:r>
      <w:r>
        <w:rPr>
          <w:b/>
        </w:rPr>
      </w:r>
      <w:r/>
    </w:p>
    <w:p>
      <w:pPr>
        <w:pStyle w:val="719"/>
        <w:ind w:firstLine="709"/>
        <w:jc w:val="center"/>
        <w:spacing w:line="260" w:lineRule="atLeast"/>
        <w:rPr>
          <w:b/>
        </w:rPr>
      </w:pPr>
      <w:r>
        <w:rPr>
          <w:b/>
        </w:rPr>
        <w:t xml:space="preserve">Анализ </w:t>
      </w:r>
      <w:r>
        <w:rPr>
          <w:b/>
        </w:rPr>
        <w:t xml:space="preserve">отчёт</w:t>
      </w:r>
      <w:r>
        <w:rPr>
          <w:b/>
        </w:rPr>
        <w:t xml:space="preserve">а об исполнении бюджета </w:t>
      </w:r>
      <w:r>
        <w:rPr>
          <w:b/>
        </w:rPr>
        <w:t xml:space="preserve">субъектом </w:t>
      </w:r>
      <w:r>
        <w:rPr>
          <w:b/>
        </w:rPr>
        <w:t xml:space="preserve">бюджетной </w:t>
      </w:r>
      <w:r>
        <w:rPr>
          <w:b/>
        </w:rPr>
        <w:t xml:space="preserve">отчёт</w:t>
      </w:r>
      <w:r>
        <w:rPr>
          <w:b/>
        </w:rPr>
        <w:t xml:space="preserve">ности</w:t>
      </w:r>
      <w:r>
        <w:rPr>
          <w:b/>
        </w:rPr>
      </w:r>
      <w:r/>
    </w:p>
    <w:p>
      <w:pPr>
        <w:pStyle w:val="719"/>
        <w:ind w:firstLine="709"/>
        <w:jc w:val="center"/>
        <w:spacing w:line="260" w:lineRule="atLeast"/>
        <w:rPr>
          <w:b/>
        </w:rPr>
      </w:pPr>
      <w:r>
        <w:rPr>
          <w:b/>
        </w:rPr>
      </w:r>
      <w:r/>
    </w:p>
    <w:p>
      <w:pPr>
        <w:pStyle w:val="719"/>
        <w:ind w:firstLine="709"/>
        <w:jc w:val="both"/>
        <w:spacing w:line="260" w:lineRule="atLeast"/>
      </w:pPr>
      <w:r>
        <w:t xml:space="preserve">Сведения об исполнении текстовых статей закона (решения) о бюджете  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(Таблица №3);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Сведения об исполнении бюджета (ф.0503164);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Сведения об исполнении мероприятий в рамках целевых программ (ф.0503166) не предоставляются;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Сведения о целевых иностранных кредитах (ф.0503167) не представляются;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Анализ </w:t>
      </w:r>
      <w:r>
        <w:fldChar w:fldCharType="begin"/>
      </w:r>
      <w:r>
        <w:instrText xml:space="preserve"> HYPERLINK "https://login.consultant.ru/link/?req=doc&amp;base=LAW&amp;n=467434&amp;dst=26294&amp;field=134&amp;date=08.02.2024" </w:instrText>
      </w:r>
      <w:r>
        <w:fldChar w:fldCharType="separate"/>
      </w:r>
      <w:r>
        <w:rPr>
          <w:rStyle w:val="736"/>
        </w:rPr>
        <w:t xml:space="preserve">отчета</w:t>
      </w:r>
      <w:r>
        <w:fldChar w:fldCharType="end"/>
      </w:r>
      <w:r>
        <w:t xml:space="preserve"> об исполнении бюджета субъектом бюджетной отчетности (Таблица № 13)</w:t>
      </w:r>
      <w:r>
        <w:t xml:space="preserve">.</w:t>
      </w:r>
      <w:r/>
    </w:p>
    <w:p>
      <w:pPr>
        <w:pStyle w:val="719"/>
        <w:ind w:firstLine="709"/>
        <w:jc w:val="both"/>
        <w:spacing w:line="260" w:lineRule="atLeast"/>
      </w:pPr>
      <w:r>
        <w:rPr>
          <w:b/>
        </w:rPr>
        <w:t xml:space="preserve">Сведения об исполнении текстовых статей закона (решения) о бюджете </w:t>
      </w:r>
      <w:r>
        <w:fldChar w:fldCharType="begin"/>
      </w:r>
      <w:r>
        <w:instrText xml:space="preserve"> HYPERLINK "consultantplus://offline/ref=8979322C94BCE612CC544AA5A088B368D65389AF4F43F6FD38EFCEBB23ECC639DF5F9CBDFE6F5114x506N" </w:instrText>
      </w:r>
      <w:r>
        <w:fldChar w:fldCharType="separate"/>
      </w:r>
      <w:r>
        <w:rPr>
          <w:rStyle w:val="736"/>
        </w:rPr>
        <w:t xml:space="preserve">(Таблица № 3)</w:t>
      </w:r>
      <w:r>
        <w:fldChar w:fldCharType="end"/>
      </w:r>
      <w:r>
        <w:t xml:space="preserve"> содержат информацию об исполнении текстовых статей закона о </w:t>
      </w:r>
      <w:r>
        <w:t xml:space="preserve">местном бюджете (бюджете муниципального образования город Краснодар).</w:t>
      </w:r>
      <w:r/>
    </w:p>
    <w:p>
      <w:pPr>
        <w:pStyle w:val="719"/>
        <w:ind w:firstLine="709"/>
        <w:jc w:val="both"/>
        <w:spacing w:line="260" w:lineRule="atLeast"/>
      </w:pPr>
      <w:r/>
      <w:r/>
    </w:p>
    <w:tbl>
      <w:tblPr>
        <w:tblW w:w="10186" w:type="dxa"/>
        <w:tblInd w:w="25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804"/>
        <w:gridCol w:w="1725"/>
        <w:gridCol w:w="1657"/>
      </w:tblGrid>
      <w:tr>
        <w:trPr>
          <w:trHeight w:val="1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center"/>
            <w:textDirection w:val="lrTb"/>
            <w:noWrap/>
          </w:tcPr>
          <w:p>
            <w:pPr>
              <w:pStyle w:val="719"/>
              <w:jc w:val="center"/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статьи закона (решения) о бюджете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vAlign w:val="center"/>
            <w:textDirection w:val="lrTb"/>
            <w:noWrap/>
          </w:tcPr>
          <w:p>
            <w:pPr>
              <w:pStyle w:val="719"/>
              <w:jc w:val="center"/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исполнения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7" w:type="dxa"/>
            <w:vAlign w:val="center"/>
            <w:textDirection w:val="lrTb"/>
            <w:noWrap/>
          </w:tcPr>
          <w:p>
            <w:pPr>
              <w:pStyle w:val="719"/>
              <w:jc w:val="center"/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Причины</w:t>
            </w:r>
            <w:r/>
          </w:p>
          <w:p>
            <w:pPr>
              <w:pStyle w:val="719"/>
              <w:jc w:val="center"/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неисполнения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6804" w:type="dxa"/>
            <w:vAlign w:val="center"/>
            <w:textDirection w:val="lrTb"/>
            <w:noWrap/>
          </w:tcPr>
          <w:p>
            <w:pPr>
              <w:pStyle w:val="719"/>
              <w:jc w:val="center"/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725" w:type="dxa"/>
            <w:vAlign w:val="center"/>
            <w:textDirection w:val="lrTb"/>
            <w:noWrap/>
          </w:tcPr>
          <w:p>
            <w:pPr>
              <w:pStyle w:val="719"/>
              <w:jc w:val="center"/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657" w:type="dxa"/>
            <w:vAlign w:val="center"/>
            <w:textDirection w:val="lrTb"/>
            <w:noWrap/>
          </w:tcPr>
          <w:p>
            <w:pPr>
              <w:pStyle w:val="719"/>
              <w:jc w:val="center"/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</w:tr>
      <w:tr>
        <w:trPr>
          <w:trHeight w:val="10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/>
          </w:tcPr>
          <w:p>
            <w:pPr>
              <w:pStyle w:val="739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21 Увеличить размеры должностных окладов лиц, замещающих муниципальны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 должности в муниципальном образовании город Краснодар, а также размеры месячных должностных окладов муниципальных служащих в муниципальном образовании город Краснодар в соответствии с замещаемыми ими должностями муниципальной службы в муниципальном образ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овании город Краснодар и размеры месячных окладов муниципальных служащих в муниципальном образовании город Краснодар в соответствии с присвоенными классными чинами муниципальной службы в муниципальном образовании город Краснодар с 01.10.2023 на 4 процента.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25" w:type="dxa"/>
            <w:vAlign w:val="top"/>
            <w:textDirection w:val="lrTb"/>
            <w:noWrap/>
          </w:tcPr>
          <w:p>
            <w:pPr>
              <w:pStyle w:val="73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сполнено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57" w:type="dxa"/>
            <w:vAlign w:val="center"/>
            <w:textDirection w:val="lrTb"/>
            <w:noWrap/>
          </w:tcPr>
          <w:p>
            <w:pPr>
              <w:pStyle w:val="719"/>
              <w:jc w:val="center"/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2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/>
          </w:tcPr>
          <w:p>
            <w:pPr>
              <w:pStyle w:val="73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26. Главным распорядителям средств местного бюджета (бюджета муниципального образования город Краснодар) обеспечить:</w:t>
            </w:r>
            <w:r/>
          </w:p>
          <w:p>
            <w:pPr>
              <w:pStyle w:val="73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результативность, адресность и целевой характер использования бюджетных сре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дств в соответствии с утвержденными им бюджетными ассигнованиями и лимитами бюджетных обязательств,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Краснодар;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  <w:p>
            <w:pPr>
              <w:pStyle w:val="73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уменьшение объема утвержденных бюджетных ассигнований в случае образования экономии по итогам конкурент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ных способов определения поставщиков (подрядчиков, исполнителей) или закупки у единственного поставщика (подрядчика, исполнителя) при осуществлении закупок товаров, работ, услуг для обеспечения муниципальных нужд муниципального образования город Краснодар.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25" w:type="dxa"/>
            <w:vAlign w:val="top"/>
            <w:textDirection w:val="lrTb"/>
            <w:noWrap/>
          </w:tcPr>
          <w:p>
            <w:pPr>
              <w:pStyle w:val="73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сполнено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57" w:type="dxa"/>
            <w:vAlign w:val="center"/>
            <w:textDirection w:val="lrTb"/>
            <w:noWrap/>
          </w:tcPr>
          <w:p>
            <w:pPr>
              <w:pStyle w:val="719"/>
              <w:jc w:val="center"/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2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/>
          </w:tcPr>
          <w:p>
            <w:pPr>
              <w:pStyle w:val="73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28. Установить, что в 2023 году получатели средств местного бюджета (бюджета муниципального образования город Краснодар) вправе предусматривать в заключаемых ими муниципальных контрактах (договорах) на поставку товаров, выполнени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 работ, оказание услуг (далее в настоящем пункте - договор) авансовые платежи в размере, установленном настоящим пунктом, если иное не установлено федеральными законами, указами Президента Российской Федерации и иными нормативными правовыми актами Российс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кой Федерации, Краснодарского края и муниципальными правовыми актами муниципального образования город Краснодар,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      </w:r>
            <w:r/>
          </w:p>
          <w:p>
            <w:pPr>
              <w:pStyle w:val="73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28.1. В размере до 100 процентов от суммы договора: об оказании услуг связи, почтовой связи, франкирования, о подписке на печатные (и электронные) издания и об их приобретении; об обучении на курсах повышения квалификации, о прохожде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нии профессиональной переподготовки, об участии в научных, методических, научно-практических и иных конференциях и семинарах; о проведении государственной экспертизы проектной документации, включающей проверку достоверности определения сметной стоимости ст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роительства, реконструкции, капитального ремонта объектов капитального строительства и результатов инженерных изысканий; о приобретении авиа- и железнодорожных билетов, билетов для проезда городским и пригородным транспортом; об оказании гостиничных услуг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 месту командирования; об осуществлении грузовых перевозок авиационным и железнодорожным транспортом; о приобретении путевок на санаторно-курортное лечение; о проведении мероприятий по тушению пожаров; аренды индивидуального сейфа (банковской ячейки);об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владельца опасного объекта за причинение вреда в результате аварии на опасном объекте; на проведение конгрессов, ф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орумов, фестивалей, конкурсов, представление экспозиций муниципального образования город Краснодар на международных, всероссийских, региональных, национальных и иных выставочно-ярмарочных мероприятиях; о проведении противоградовых мероприятий; об оказании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услуг по обслуживанию выпуска муниципальных облигаций муниципального образования город Краснодар; об оказании услуг по размещению и техническому сопровождению программного комплекса официального Интернет-портала администрации муниципального образования гор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од Краснодар и городской Думы Краснодара (www.krd.ru);на проведение мероприятий в соответствии с календарем праздничных мероприятий и памятных дат; о проведении работ по присоединению к сетям инженерно-технического обеспечения, по увеличению потребляемой 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ощности; о разработке технических условий присоединения к сетям инженерно-технического обеспечения, увеличения потребляемой мощности; о приобретении электронной цифровой подписи, программного обеспечения в целях осуществления электронного документооборота.</w:t>
            </w:r>
            <w:r/>
          </w:p>
          <w:p>
            <w:pPr>
              <w:pStyle w:val="73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28.2. В размере до 100 процентов от суммы соответствующего этапа (периода) исполнения, указанного в договоре, - по договорам аренды нежилых помещений и об оказании услуг по предоставлению права доступа к электронным справочным системам.</w:t>
            </w:r>
            <w:r/>
          </w:p>
          <w:p>
            <w:pPr>
              <w:pStyle w:val="73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28.3. В размере до 70 процентов от суммы соответствующего этапа (периода) исполнения, указанного в договоре, - по договорам о предоставлении коммунальных услуг и договорам поставки газа, тепло-, электрической энергии, водоснабжения.</w:t>
            </w:r>
            <w:r/>
          </w:p>
          <w:p>
            <w:pPr>
              <w:pStyle w:val="73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28.4. В размере до 80 процентов от суммы договора, подлежащего казначейскому сопровождению в соответствии с бюджетным законодательством Российской Федерации</w:t>
            </w:r>
            <w:r/>
          </w:p>
          <w:p>
            <w:pPr>
              <w:pStyle w:val="73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28.5. В размере до 50 процентов от суммы договора - по остальным договорам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25" w:type="dxa"/>
            <w:vAlign w:val="top"/>
            <w:textDirection w:val="lrTb"/>
            <w:noWrap/>
          </w:tcPr>
          <w:p>
            <w:pPr>
              <w:pStyle w:val="73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Исполнено, установленный предельный размер авансового платежа не превышен.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57" w:type="dxa"/>
            <w:vAlign w:val="center"/>
            <w:textDirection w:val="lrTb"/>
            <w:noWrap/>
          </w:tcPr>
          <w:p>
            <w:pPr>
              <w:pStyle w:val="719"/>
              <w:jc w:val="center"/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2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/>
          </w:tcPr>
          <w:p>
            <w:pPr>
              <w:pStyle w:val="73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31. Городской Думе Краснодара,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в трехмесячный срок со дня вступления его в силу.</w:t>
            </w:r>
            <w:r/>
          </w:p>
          <w:p>
            <w:pPr>
              <w:pStyle w:val="73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Муниципальные программы муниципального образования город Краснодар подлежат приведению в соответствие с настоящим решением не позднее трех месяцев со дня вступления его в силу.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25" w:type="dxa"/>
            <w:vAlign w:val="top"/>
            <w:textDirection w:val="lrTb"/>
            <w:noWrap/>
          </w:tcPr>
          <w:p>
            <w:pPr>
              <w:pStyle w:val="73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Исполнено, муниципальные программы, координатором которых является управление приводятся в соответствие в трех месячный срок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57" w:type="dxa"/>
            <w:vAlign w:val="center"/>
            <w:textDirection w:val="lrTb"/>
            <w:noWrap/>
          </w:tcPr>
          <w:p>
            <w:pPr>
              <w:pStyle w:val="719"/>
              <w:jc w:val="center"/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19"/>
        <w:ind w:firstLine="709"/>
        <w:jc w:val="both"/>
        <w:spacing w:line="260" w:lineRule="atLeast"/>
      </w:pPr>
      <w:r/>
      <w:r/>
    </w:p>
    <w:p>
      <w:pPr>
        <w:pStyle w:val="719"/>
        <w:ind w:firstLine="709"/>
        <w:jc w:val="both"/>
        <w:spacing w:line="260" w:lineRule="atLeast"/>
      </w:pPr>
      <w:r>
        <w:t xml:space="preserve">Управление и подведомственное учреждение МКУ «Источник» не является участником федеральных целевых программ, национальных проектов (программ), комплексного плана модернизации и расширения магистральной инфраструктуры. </w:t>
      </w:r>
      <w:r/>
    </w:p>
    <w:p>
      <w:pPr>
        <w:pStyle w:val="719"/>
        <w:ind w:firstLine="709"/>
        <w:jc w:val="both"/>
        <w:spacing w:line="260" w:lineRule="atLeast"/>
        <w:rPr>
          <w:color w:val="000000"/>
        </w:rPr>
      </w:pPr>
      <w:r>
        <w:t xml:space="preserve">Принятие бюджетных и денежных обязательств сверх доведенного объема лимитов бюджетных обязательств в отчётном периоде не допускалось. </w:t>
      </w:r>
      <w:r>
        <w:rPr>
          <w:color w:val="000000"/>
        </w:rPr>
      </w:r>
      <w:r/>
    </w:p>
    <w:p>
      <w:pPr>
        <w:pStyle w:val="719"/>
        <w:ind w:firstLine="709"/>
        <w:jc w:val="both"/>
        <w:spacing w:line="260" w:lineRule="atLeast"/>
      </w:pPr>
      <w:r>
        <w:t xml:space="preserve">В соответствии с Решением городской Думы Краснодара «О местном бюджете (бюджете муниципального образования город Краснодар) </w:t>
      </w:r>
      <w:r>
        <w:t xml:space="preserve">на 2023 год и на плановый период 2024 и 2025 годов» от 15.12.2022 № 51 п. 4 </w:t>
      </w:r>
      <w:r>
        <w:t xml:space="preserve">Управлению</w:t>
      </w:r>
      <w:r>
        <w:t xml:space="preserve"> и МКУ «Источник» </w:t>
      </w:r>
      <w:r>
        <w:t xml:space="preserve">утверждены</w:t>
      </w:r>
      <w:r>
        <w:t xml:space="preserve"> бюджетные назначения </w:t>
      </w:r>
      <w:r>
        <w:t xml:space="preserve">в размере </w:t>
      </w:r>
      <w:r>
        <w:t xml:space="preserve">240 597 000,0</w:t>
      </w:r>
      <w:r>
        <w:t xml:space="preserve"> руб.,</w:t>
      </w:r>
      <w:r>
        <w:t xml:space="preserve"> в том числе</w:t>
      </w:r>
      <w:r>
        <w:t xml:space="preserve"> лимиты бюджетных обязательств </w:t>
      </w:r>
      <w:r>
        <w:t xml:space="preserve">в </w:t>
      </w:r>
      <w:r>
        <w:t xml:space="preserve">размере </w:t>
      </w:r>
      <w:r>
        <w:t xml:space="preserve">89 127 000,0</w:t>
      </w:r>
      <w:r>
        <w:t xml:space="preserve"> руб.</w:t>
      </w:r>
      <w:r>
        <w:t xml:space="preserve">,</w:t>
      </w:r>
      <w:r>
        <w:t xml:space="preserve"> бюджетные ассигнования на исполнение публичных нормативных обязательств – </w:t>
      </w:r>
      <w:r>
        <w:t xml:space="preserve">151 470 000,0</w:t>
      </w:r>
      <w:r>
        <w:t xml:space="preserve"> руб.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Уточненные </w:t>
      </w:r>
      <w:r>
        <w:t xml:space="preserve">бюджетные назначения </w:t>
      </w:r>
      <w:r>
        <w:t xml:space="preserve">239 236 000,0</w:t>
      </w:r>
      <w:r>
        <w:t xml:space="preserve"> руб.,</w:t>
      </w:r>
      <w:r>
        <w:t xml:space="preserve"> в том числе</w:t>
      </w:r>
      <w:r>
        <w:t xml:space="preserve"> лимиты бюджетных обязательств (Далее – ЛБО) в размере </w:t>
      </w:r>
      <w:r>
        <w:t xml:space="preserve">95 706 100,0</w:t>
      </w:r>
      <w:r>
        <w:t xml:space="preserve"> руб</w:t>
      </w:r>
      <w:r>
        <w:t xml:space="preserve">., бюджетные ассигнования на исполнение публичных нормативных обязательств – </w:t>
      </w:r>
      <w:r>
        <w:t xml:space="preserve">143 529 900</w:t>
      </w:r>
      <w:r>
        <w:t xml:space="preserve">,0 руб.</w:t>
      </w:r>
      <w:r>
        <w:t xml:space="preserve"> </w:t>
      </w:r>
      <w:r/>
    </w:p>
    <w:p>
      <w:pPr>
        <w:pStyle w:val="719"/>
        <w:ind w:firstLine="709"/>
        <w:jc w:val="both"/>
        <w:spacing w:line="260" w:lineRule="atLeast"/>
      </w:pPr>
      <w:r>
        <w:t xml:space="preserve">Разница между показателями</w:t>
      </w:r>
      <w:r>
        <w:t xml:space="preserve"> уточненной</w:t>
      </w:r>
      <w:r>
        <w:t xml:space="preserve"> бюджетной росписи (Далее – </w:t>
      </w:r>
      <w:r>
        <w:t xml:space="preserve">БР) и</w:t>
      </w:r>
      <w:r>
        <w:t xml:space="preserve"> зак</w:t>
      </w:r>
      <w:r>
        <w:t xml:space="preserve">о</w:t>
      </w:r>
      <w:r>
        <w:t xml:space="preserve">на (реш</w:t>
      </w:r>
      <w:r>
        <w:t xml:space="preserve">е</w:t>
      </w:r>
      <w:r>
        <w:t xml:space="preserve">ния) о бюджете составляет –</w:t>
      </w:r>
      <w:r>
        <w:t xml:space="preserve"> </w:t>
      </w:r>
      <w:r>
        <w:t xml:space="preserve">1 361 000</w:t>
      </w:r>
      <w:r>
        <w:t xml:space="preserve">,0</w:t>
      </w:r>
      <w:r>
        <w:t xml:space="preserve"> руб.</w:t>
      </w:r>
      <w:r/>
    </w:p>
    <w:p>
      <w:pPr>
        <w:pStyle w:val="719"/>
        <w:ind w:firstLine="709"/>
        <w:jc w:val="both"/>
        <w:spacing w:line="260" w:lineRule="atLeast"/>
        <w:rPr>
          <w:color w:val="000000"/>
          <w:sz w:val="24"/>
          <w:szCs w:val="24"/>
        </w:rPr>
      </w:pPr>
      <w:r>
        <w:rPr>
          <w:color w:val="000000"/>
        </w:rPr>
        <w:t xml:space="preserve">Основные причины изменения </w:t>
      </w:r>
      <w:r>
        <w:rPr>
          <w:color w:val="000000"/>
        </w:rPr>
        <w:t xml:space="preserve">назначений,</w:t>
      </w:r>
      <w:r>
        <w:rPr>
          <w:color w:val="000000"/>
        </w:rPr>
        <w:t xml:space="preserve"> утвержденных законом (р</w:t>
      </w:r>
      <w:r>
        <w:rPr>
          <w:color w:val="000000"/>
        </w:rPr>
        <w:t xml:space="preserve">е</w:t>
      </w:r>
      <w:r>
        <w:rPr>
          <w:color w:val="000000"/>
        </w:rPr>
        <w:t xml:space="preserve">шением) о бюдж</w:t>
      </w:r>
      <w:r>
        <w:rPr>
          <w:color w:val="000000"/>
        </w:rPr>
        <w:t xml:space="preserve">е</w:t>
      </w:r>
      <w:r>
        <w:rPr>
          <w:color w:val="000000"/>
        </w:rPr>
        <w:t xml:space="preserve">те </w:t>
      </w:r>
      <w:r>
        <w:rPr>
          <w:color w:val="000000"/>
        </w:rPr>
        <w:t xml:space="preserve">БР </w:t>
      </w:r>
      <w:r>
        <w:rPr>
          <w:color w:val="000000"/>
        </w:rPr>
        <w:t xml:space="preserve">и уточненной бюджетной росписью: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</w:t>
      </w:r>
      <w:r>
        <w:rPr>
          <w:color w:val="000000"/>
          <w:sz w:val="24"/>
          <w:szCs w:val="24"/>
        </w:rPr>
        <w:t xml:space="preserve">                        </w:t>
      </w:r>
      <w:r/>
    </w:p>
    <w:p>
      <w:pPr>
        <w:pStyle w:val="719"/>
        <w:ind w:firstLine="709"/>
        <w:jc w:val="center"/>
        <w:spacing w:line="26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руб.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</w:r>
      <w:r/>
    </w:p>
    <w:tbl>
      <w:tblPr>
        <w:tblW w:w="1038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59"/>
        <w:gridCol w:w="1559"/>
        <w:gridCol w:w="3579"/>
      </w:tblGrid>
      <w:tr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РзПр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ЦСР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Утвержденная БР на текущий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8" w:space="0"/>
              <w:bottom w:val="none" w:color="FFFFFF" w:sz="255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БР на текущий год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Уточнения БР на тек.год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9" w:type="dxa"/>
            <w:vAlign w:val="top"/>
            <w:textDirection w:val="lrTb"/>
            <w:noWrap w:val="false"/>
          </w:tcPr>
          <w:p>
            <w:pPr>
              <w:pStyle w:val="719"/>
              <w:ind w:right="1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  <w:p>
            <w:pPr>
              <w:pStyle w:val="719"/>
              <w:ind w:right="1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Примечания (уменьш</w:t>
            </w:r>
            <w:r>
              <w:rPr>
                <w:bCs/>
                <w:sz w:val="20"/>
                <w:szCs w:val="20"/>
              </w:rPr>
              <w:t xml:space="preserve">е</w:t>
            </w:r>
            <w:r>
              <w:rPr>
                <w:bCs/>
                <w:sz w:val="20"/>
                <w:szCs w:val="20"/>
              </w:rPr>
              <w:t xml:space="preserve">ние/увеличение</w:t>
            </w:r>
            <w:r/>
          </w:p>
          <w:p>
            <w:pPr>
              <w:pStyle w:val="719"/>
              <w:ind w:right="1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ЛБО и БА)</w:t>
            </w:r>
            <w:r/>
          </w:p>
        </w:tc>
      </w:tr>
      <w:tr>
        <w:trPr>
          <w:trHeight w:val="28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0320500190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48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369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8</w:t>
            </w:r>
            <w:r>
              <w:rPr>
                <w:bCs/>
                <w:sz w:val="20"/>
                <w:szCs w:val="20"/>
              </w:rPr>
              <w:t xml:space="preserve">00</w:t>
            </w:r>
            <w:r>
              <w:rPr>
                <w:bCs/>
                <w:sz w:val="20"/>
                <w:szCs w:val="20"/>
              </w:rPr>
              <w:t xml:space="preserve">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47 494 500,00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-875 300,00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9" w:type="dxa"/>
            <w:vAlign w:val="top"/>
            <w:textDirection w:val="lrTb"/>
            <w:noWrap/>
          </w:tcPr>
          <w:p>
            <w:pPr>
              <w:pStyle w:val="719"/>
              <w:ind w:right="172"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штатной численности и  изменение фонда оплаты труда сотрудников управления</w:t>
            </w:r>
            <w:r/>
          </w:p>
        </w:tc>
      </w:tr>
      <w:tr>
        <w:trPr>
          <w:trHeight w:val="28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0940110150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2 060 000,00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2 060 000,00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9" w:type="dxa"/>
            <w:vAlign w:val="top"/>
            <w:textDirection w:val="lrTb"/>
            <w:noWrap/>
          </w:tcPr>
          <w:p>
            <w:pPr>
              <w:pStyle w:val="719"/>
              <w:ind w:right="172"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постр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давшим от ЧС по судебным решениям</w:t>
            </w:r>
            <w:r/>
          </w:p>
        </w:tc>
      </w:tr>
      <w:tr>
        <w:trPr>
          <w:trHeight w:val="28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0401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1030111540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292 700,00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265 500,00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-27 200,00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9" w:type="dxa"/>
            <w:vAlign w:val="top"/>
            <w:textDirection w:val="lrTb"/>
            <w:noWrap/>
          </w:tcPr>
          <w:p>
            <w:pPr>
              <w:pStyle w:val="719"/>
              <w:ind w:right="172"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по закупкам</w:t>
            </w:r>
            <w:r/>
          </w:p>
        </w:tc>
      </w:tr>
      <w:tr>
        <w:trPr>
          <w:trHeight w:val="28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1001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0320649100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115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101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000</w:t>
            </w:r>
            <w:r>
              <w:rPr>
                <w:bCs/>
                <w:sz w:val="20"/>
                <w:szCs w:val="20"/>
              </w:rPr>
              <w:t xml:space="preserve">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112 981 700,00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-2 119 300,00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9" w:type="dxa"/>
            <w:vAlign w:val="top"/>
            <w:textDirection w:val="lrTb"/>
            <w:noWrap/>
          </w:tcPr>
          <w:p>
            <w:pPr>
              <w:pStyle w:val="719"/>
              <w:ind w:right="172"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уточнено под фактич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скую потре</w:t>
            </w: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ность</w:t>
            </w:r>
            <w:r/>
          </w:p>
        </w:tc>
      </w:tr>
      <w:tr>
        <w:trPr>
          <w:trHeight w:val="28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1003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0320323010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50 000,00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25 000,00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-25 000,00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9" w:type="dxa"/>
            <w:vAlign w:val="top"/>
            <w:textDirection w:val="lrTb"/>
            <w:noWrap/>
          </w:tcPr>
          <w:p>
            <w:pPr>
              <w:pStyle w:val="719"/>
              <w:ind w:right="172"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</w:t>
            </w:r>
            <w:r>
              <w:rPr>
                <w:sz w:val="20"/>
                <w:szCs w:val="20"/>
              </w:rPr>
              <w:t xml:space="preserve">ч</w:t>
            </w:r>
            <w:r>
              <w:rPr>
                <w:sz w:val="20"/>
                <w:szCs w:val="20"/>
              </w:rPr>
              <w:t xml:space="preserve">нено под фактическую потре</w:t>
            </w: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ность</w:t>
            </w:r>
            <w:r/>
          </w:p>
        </w:tc>
      </w:tr>
      <w:tr>
        <w:trPr>
          <w:trHeight w:val="28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1003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0320323160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600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00</w:t>
            </w:r>
            <w:r>
              <w:rPr>
                <w:bCs/>
                <w:sz w:val="20"/>
                <w:szCs w:val="20"/>
              </w:rPr>
              <w:t xml:space="preserve">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426 700,00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-173 300,00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9" w:type="dxa"/>
            <w:vAlign w:val="top"/>
            <w:textDirection w:val="lrTb"/>
            <w:noWrap/>
          </w:tcPr>
          <w:p>
            <w:pPr>
              <w:pStyle w:val="719"/>
              <w:ind w:right="172"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уточнено под фактическую потребность</w:t>
            </w:r>
            <w:r/>
          </w:p>
        </w:tc>
      </w:tr>
      <w:tr>
        <w:trPr>
          <w:trHeight w:val="28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1003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0320423130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10 200 000,00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8 078 400,00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-2 121 600,00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9" w:type="dxa"/>
            <w:vAlign w:val="top"/>
            <w:textDirection w:val="lrTb"/>
            <w:noWrap/>
          </w:tcPr>
          <w:p>
            <w:pPr>
              <w:pStyle w:val="719"/>
              <w:ind w:right="172"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после проведения конкурсных процедур</w:t>
            </w:r>
            <w:r/>
          </w:p>
        </w:tc>
      </w:tr>
      <w:tr>
        <w:trPr>
          <w:trHeight w:val="28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1003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0320723550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22 837 500,00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15 550 800,00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-7 286 700,00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9" w:type="dxa"/>
            <w:vAlign w:val="top"/>
            <w:textDirection w:val="lrTb"/>
            <w:noWrap/>
          </w:tcPr>
          <w:p>
            <w:pPr>
              <w:pStyle w:val="719"/>
              <w:ind w:right="172"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</w:t>
            </w:r>
            <w:r>
              <w:rPr>
                <w:sz w:val="20"/>
                <w:szCs w:val="20"/>
              </w:rPr>
              <w:t xml:space="preserve">ч</w:t>
            </w:r>
            <w:r>
              <w:rPr>
                <w:sz w:val="20"/>
                <w:szCs w:val="20"/>
              </w:rPr>
              <w:t xml:space="preserve">нено под фактическую потре</w:t>
            </w: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ность</w:t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0320823110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644 800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174 300,00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</w:t>
            </w:r>
            <w:r>
              <w:rPr>
                <w:sz w:val="20"/>
                <w:szCs w:val="20"/>
              </w:rPr>
              <w:t xml:space="preserve"> 470 500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9" w:type="dxa"/>
            <w:vAlign w:val="top"/>
            <w:textDirection w:val="lrTb"/>
            <w:noWrap/>
          </w:tcPr>
          <w:p>
            <w:pPr>
              <w:pStyle w:val="719"/>
              <w:ind w:right="172"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</w:t>
            </w:r>
            <w:r>
              <w:rPr>
                <w:sz w:val="20"/>
                <w:szCs w:val="20"/>
              </w:rPr>
              <w:t xml:space="preserve">ч</w:t>
            </w:r>
            <w:r>
              <w:rPr>
                <w:sz w:val="20"/>
                <w:szCs w:val="20"/>
              </w:rPr>
              <w:t xml:space="preserve">нено под фактическую потре</w:t>
            </w: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ность</w:t>
            </w:r>
            <w:r/>
          </w:p>
        </w:tc>
      </w:tr>
      <w:tr>
        <w:trPr>
          <w:trHeight w:val="28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1003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0320823140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773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00</w:t>
            </w:r>
            <w:r>
              <w:rPr>
                <w:bCs/>
                <w:sz w:val="20"/>
                <w:szCs w:val="20"/>
              </w:rPr>
              <w:t xml:space="preserve">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16 962 600,00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1 189 400,00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9" w:type="dxa"/>
            <w:vAlign w:val="top"/>
            <w:textDirection w:val="lrTb"/>
            <w:noWrap/>
          </w:tcPr>
          <w:p>
            <w:pPr>
              <w:pStyle w:val="719"/>
              <w:ind w:right="172"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</w:t>
            </w:r>
            <w:r>
              <w:rPr>
                <w:sz w:val="20"/>
                <w:szCs w:val="20"/>
              </w:rPr>
              <w:t xml:space="preserve">ч</w:t>
            </w:r>
            <w:r>
              <w:rPr>
                <w:sz w:val="20"/>
                <w:szCs w:val="20"/>
              </w:rPr>
              <w:t xml:space="preserve">нено под фактическую потре</w:t>
            </w: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ность</w:t>
            </w:r>
            <w:r/>
          </w:p>
        </w:tc>
      </w:tr>
      <w:tr>
        <w:trPr>
          <w:trHeight w:val="28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1003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0320923170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12 493 300,00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12 493 300,00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9" w:type="dxa"/>
            <w:vAlign w:val="top"/>
            <w:textDirection w:val="lrTb"/>
            <w:noWrap/>
          </w:tcPr>
          <w:p>
            <w:pPr>
              <w:pStyle w:val="719"/>
              <w:ind w:righ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невозможность проведения конкурсных процедур, в связи с поздним доведением денежных средств (21.12.2023)</w:t>
            </w:r>
            <w:r/>
          </w:p>
        </w:tc>
      </w:tr>
      <w:tr>
        <w:trPr>
          <w:trHeight w:val="28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1006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0310124030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246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000</w:t>
            </w:r>
            <w:r>
              <w:rPr>
                <w:bCs/>
                <w:sz w:val="20"/>
                <w:szCs w:val="20"/>
              </w:rPr>
              <w:t xml:space="preserve">,00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111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600</w:t>
            </w:r>
            <w:r>
              <w:rPr>
                <w:bCs/>
                <w:sz w:val="20"/>
                <w:szCs w:val="20"/>
              </w:rPr>
              <w:t xml:space="preserve">,00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-1 134 400,00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9" w:type="dxa"/>
            <w:vAlign w:val="top"/>
            <w:textDirection w:val="lrTb"/>
            <w:noWrap/>
          </w:tcPr>
          <w:p>
            <w:pPr>
              <w:pStyle w:val="719"/>
              <w:ind w:right="172"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по закупкам</w:t>
            </w:r>
            <w:r/>
          </w:p>
        </w:tc>
      </w:tr>
      <w:tr>
        <w:trPr>
          <w:trHeight w:val="28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1006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0320511470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260 000,00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207 800,00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-52 200,00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9" w:type="dxa"/>
            <w:vAlign w:val="top"/>
            <w:textDirection w:val="lrTb"/>
            <w:noWrap/>
          </w:tcPr>
          <w:p>
            <w:pPr>
              <w:pStyle w:val="719"/>
              <w:ind w:right="172"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по закупкам</w:t>
            </w:r>
            <w:r>
              <w:rPr>
                <w:sz w:val="20"/>
                <w:szCs w:val="20"/>
              </w:rPr>
              <w:t xml:space="preserve">, изменение проведения формата мероприятия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8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1006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0310100590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16 022 000,00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17 203 800,00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1 181 800,00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9" w:type="dxa"/>
            <w:vAlign w:val="top"/>
            <w:textDirection w:val="lrTb"/>
            <w:noWrap/>
          </w:tcPr>
          <w:p>
            <w:pPr>
              <w:pStyle w:val="719"/>
              <w:ind w:right="172"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</w:t>
            </w:r>
            <w:r>
              <w:rPr>
                <w:sz w:val="20"/>
                <w:szCs w:val="20"/>
              </w:rPr>
              <w:t xml:space="preserve">ч</w:t>
            </w:r>
            <w:r>
              <w:rPr>
                <w:sz w:val="20"/>
                <w:szCs w:val="20"/>
              </w:rPr>
              <w:t xml:space="preserve">нено под фактическую потре</w:t>
            </w: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ность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7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7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-1 361 000,00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9" w:type="dxa"/>
            <w:vAlign w:val="center"/>
            <w:textDirection w:val="lrTb"/>
            <w:noWrap/>
          </w:tcPr>
          <w:p>
            <w:pPr>
              <w:pStyle w:val="71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</w:tr>
    </w:tbl>
    <w:p>
      <w:pPr>
        <w:pStyle w:val="719"/>
        <w:ind w:firstLine="709"/>
        <w:jc w:val="both"/>
        <w:spacing w:line="260" w:lineRule="atLeast"/>
      </w:pPr>
      <w:r/>
      <w:r/>
    </w:p>
    <w:p>
      <w:pPr>
        <w:pStyle w:val="719"/>
        <w:ind w:firstLine="709"/>
        <w:jc w:val="both"/>
        <w:spacing w:line="260" w:lineRule="atLeast"/>
        <w:rPr>
          <w:color w:val="000000"/>
        </w:rPr>
      </w:pPr>
      <w:r>
        <w:t xml:space="preserve">Форма 0503164 </w:t>
      </w:r>
      <w:r>
        <w:rPr>
          <w:color w:val="000000"/>
        </w:rPr>
        <w:t xml:space="preserve">«Сведения об исполнении бюджета»</w:t>
      </w:r>
      <w:r/>
    </w:p>
    <w:p>
      <w:pPr>
        <w:pStyle w:val="719"/>
        <w:ind w:firstLine="709"/>
        <w:jc w:val="both"/>
      </w:pPr>
      <w:r>
        <w:t xml:space="preserve">Доходы </w:t>
      </w:r>
      <w:r>
        <w:t xml:space="preserve">сложились по следующим кодам:</w:t>
      </w:r>
      <w:r/>
    </w:p>
    <w:p>
      <w:pPr>
        <w:pStyle w:val="719"/>
        <w:ind w:firstLine="709"/>
        <w:jc w:val="both"/>
      </w:pPr>
      <w:r>
        <w:t xml:space="preserve">11302994040031130 «Прочие доходы от компенсации затрат бюджетов городских округов (возврат дебиторской задолженности прошлых лет в бюджет городского округа</w:t>
      </w:r>
      <w:bookmarkStart w:id="0" w:name="_Hlk158610146"/>
      <w:r>
        <w:t xml:space="preserve">» в сумме</w:t>
      </w:r>
      <w:r>
        <w:t xml:space="preserve"> </w:t>
      </w:r>
      <w:r>
        <w:t xml:space="preserve">5060,6</w:t>
      </w:r>
      <w:r>
        <w:t xml:space="preserve"> руб. </w:t>
      </w:r>
      <w:r>
        <w:t xml:space="preserve">начисленная в 2022 году и сторнированная в 2023 году надбавка за секретность (отменено распоряжение по ее установлению в 2023 году), перечисленная в доход бюджета</w:t>
      </w:r>
      <w:r>
        <w:t xml:space="preserve">.</w:t>
      </w:r>
      <w:r>
        <w:t xml:space="preserve"> </w:t>
      </w:r>
      <w:bookmarkEnd w:id="0"/>
      <w:r>
        <w:t xml:space="preserve">Утвержденные бюджетные назначения (прогнозные показатели) по коду составили </w:t>
      </w:r>
      <w:r>
        <w:t xml:space="preserve">5</w:t>
      </w:r>
      <w:r>
        <w:t xml:space="preserve"> 000,0 руб., процент исполнения составил </w:t>
      </w:r>
      <w:r/>
    </w:p>
    <w:p>
      <w:pPr>
        <w:pStyle w:val="719"/>
        <w:jc w:val="both"/>
      </w:pPr>
      <w:r>
        <w:t xml:space="preserve">10</w:t>
      </w:r>
      <w:r>
        <w:t xml:space="preserve">1,21</w:t>
      </w:r>
      <w:r>
        <w:t xml:space="preserve"> %</w:t>
      </w:r>
      <w:r>
        <w:t xml:space="preserve">.</w:t>
      </w:r>
      <w:r/>
    </w:p>
    <w:p>
      <w:pPr>
        <w:pStyle w:val="719"/>
        <w:ind w:firstLine="709"/>
        <w:jc w:val="both"/>
      </w:pPr>
      <w:r>
        <w:t xml:space="preserve">11607010040000140 </w:t>
      </w:r>
      <w:r>
        <w:t xml:space="preserve">«Штрафы,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округа» </w:t>
      </w:r>
      <w:r>
        <w:t xml:space="preserve">в сумме</w:t>
      </w:r>
      <w:r>
        <w:rPr>
          <w:color w:val="FF0000"/>
        </w:rPr>
        <w:t xml:space="preserve"> </w:t>
      </w:r>
      <w:bookmarkStart w:id="1" w:name="_Hlk158610244"/>
      <w:r>
        <w:t xml:space="preserve">5104,69</w:t>
      </w:r>
      <w:r>
        <w:t xml:space="preserve"> </w:t>
      </w:r>
      <w:r>
        <w:t xml:space="preserve">руб.</w:t>
      </w:r>
      <w:r>
        <w:t xml:space="preserve"> сложились </w:t>
      </w:r>
      <w:r>
        <w:t xml:space="preserve">в связи с проведением претензионной работ</w:t>
      </w:r>
      <w:r>
        <w:t xml:space="preserve">ы</w:t>
      </w:r>
      <w:bookmarkEnd w:id="1"/>
      <w:r>
        <w:t xml:space="preserve">:</w:t>
      </w:r>
      <w:r/>
    </w:p>
    <w:p>
      <w:pPr>
        <w:pStyle w:val="719"/>
        <w:ind w:firstLine="709"/>
        <w:jc w:val="both"/>
      </w:pPr>
      <w:r>
        <w:t xml:space="preserve">по </w:t>
      </w:r>
      <w:r>
        <w:t xml:space="preserve">муниципальному контракту </w:t>
      </w:r>
      <w:r>
        <w:rPr>
          <w:rFonts w:eastAsia="Calibri"/>
          <w:lang w:eastAsia="en-US"/>
        </w:rPr>
        <w:t xml:space="preserve">от 15.11.2023 № 4-А/23</w:t>
      </w:r>
      <w:r>
        <w:rPr>
          <w:rFonts w:eastAsia="Calibri"/>
          <w:lang w:eastAsia="en-US"/>
        </w:rPr>
        <w:t xml:space="preserve"> </w:t>
      </w:r>
      <w:r>
        <w:t xml:space="preserve">с ООО «</w:t>
      </w:r>
      <w:r>
        <w:t xml:space="preserve">Люкс-Трейд» </w:t>
      </w:r>
      <w:r>
        <w:t xml:space="preserve">за поставку новогодних подарочных кондитерских наборов </w:t>
      </w:r>
      <w:r>
        <w:t xml:space="preserve">(</w:t>
      </w:r>
      <w:r>
        <w:t xml:space="preserve">поступление </w:t>
      </w:r>
      <w:r>
        <w:t xml:space="preserve">суммы штрафа за</w:t>
      </w:r>
      <w:r>
        <w:t xml:space="preserve"> ненадлежащее исполнение обязательств по 44-ФЗ</w:t>
      </w:r>
      <w:r>
        <w:t xml:space="preserve"> в размере 5000,0 руб.</w:t>
      </w:r>
      <w:r>
        <w:t xml:space="preserve">).</w:t>
      </w:r>
      <w:r>
        <w:t xml:space="preserve"> </w:t>
      </w:r>
      <w:r/>
    </w:p>
    <w:p>
      <w:pPr>
        <w:pStyle w:val="719"/>
        <w:ind w:firstLine="709"/>
        <w:jc w:val="both"/>
      </w:pPr>
      <w:r>
        <w:t xml:space="preserve">по муниципальному контракту </w:t>
      </w:r>
      <w:r>
        <w:t xml:space="preserve">от 24.11.203 №</w:t>
      </w:r>
      <w:r>
        <w:t xml:space="preserve"> 2-К/23104,69</w:t>
      </w:r>
      <w:r>
        <w:t xml:space="preserve"> с </w:t>
      </w:r>
      <w:r>
        <w:t xml:space="preserve">ООО </w:t>
      </w:r>
      <w:r>
        <w:t xml:space="preserve">«Медицинский центр «</w:t>
      </w:r>
      <w:r>
        <w:t xml:space="preserve">Гиппократ Краснодар</w:t>
      </w:r>
      <w:r>
        <w:t xml:space="preserve">» на сумму 104,69 пени уплаченные за просрочку исполнения обязательств.</w:t>
      </w:r>
      <w:r/>
    </w:p>
    <w:p>
      <w:pPr>
        <w:pStyle w:val="719"/>
        <w:ind w:firstLine="709"/>
        <w:jc w:val="both"/>
      </w:pPr>
      <w:r>
        <w:t xml:space="preserve">Утвержденные бюджетные назначения (прогнозные показатели)</w:t>
      </w:r>
      <w:r>
        <w:t xml:space="preserve"> по коду составили </w:t>
      </w:r>
      <w:r>
        <w:t xml:space="preserve">5</w:t>
      </w:r>
      <w:r>
        <w:t xml:space="preserve"> 000,0 руб., процент исполнения составил </w:t>
      </w:r>
      <w:r>
        <w:t xml:space="preserve">10</w:t>
      </w:r>
      <w:r>
        <w:t xml:space="preserve">2,02</w:t>
      </w:r>
      <w:r>
        <w:t xml:space="preserve"> </w:t>
      </w:r>
      <w:r>
        <w:t xml:space="preserve">%</w:t>
      </w:r>
      <w:r>
        <w:t xml:space="preserve">.</w:t>
      </w:r>
      <w:r/>
    </w:p>
    <w:p>
      <w:pPr>
        <w:pStyle w:val="719"/>
        <w:ind w:firstLine="709"/>
        <w:jc w:val="both"/>
      </w:pPr>
      <w:r/>
      <w:bookmarkStart w:id="2" w:name="_Hlk158610281"/>
      <w:r/>
      <w:bookmarkStart w:id="3" w:name="_Hlk158610403"/>
      <w:r>
        <w:t xml:space="preserve">93611609040040000140</w:t>
      </w:r>
      <w:bookmarkEnd w:id="3"/>
      <w:r>
        <w:t xml:space="preserve"> «</w:t>
      </w:r>
      <w:r>
        <w:t xml:space="preserve"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</w:r>
      <w:r>
        <w:t xml:space="preserve">» </w:t>
      </w:r>
      <w:r>
        <w:t xml:space="preserve">в сумме 13250,0 руб.</w:t>
      </w:r>
      <w:r>
        <w:t xml:space="preserve"> поступление денежных средств в соответствии с решени</w:t>
      </w:r>
      <w:r>
        <w:t xml:space="preserve">ем</w:t>
      </w:r>
      <w:r>
        <w:t xml:space="preserve"> </w:t>
      </w:r>
      <w:r>
        <w:t xml:space="preserve">суда</w:t>
      </w:r>
      <w:bookmarkEnd w:id="2"/>
      <w:r>
        <w:t xml:space="preserve">, по иску администрации муниципального образования город Краснодар в интересах Шматок Т.В. к ООО «Екатеринбург Яблоко» о защите прав потребителей</w:t>
      </w:r>
      <w:r>
        <w:t xml:space="preserve">.</w:t>
      </w:r>
      <w:r/>
    </w:p>
    <w:p>
      <w:pPr>
        <w:pStyle w:val="719"/>
        <w:ind w:firstLine="709"/>
        <w:jc w:val="both"/>
      </w:pPr>
      <w:r>
        <w:t xml:space="preserve">Утвержденные бюджетные назначения (прогнозные показатели) по коду составили </w:t>
      </w:r>
      <w:r>
        <w:t xml:space="preserve">13</w:t>
      </w:r>
      <w:r>
        <w:t xml:space="preserve"> 000,0 руб., процент исполнения составил </w:t>
      </w:r>
      <w:r>
        <w:t xml:space="preserve">101,92</w:t>
      </w:r>
      <w:r>
        <w:t xml:space="preserve"> %.</w:t>
      </w:r>
      <w:r/>
    </w:p>
    <w:p>
      <w:pPr>
        <w:pStyle w:val="719"/>
        <w:ind w:firstLine="709"/>
        <w:jc w:val="both"/>
      </w:pPr>
      <w:r/>
      <w:bookmarkStart w:id="4" w:name="_Hlk158610356"/>
      <w:r>
        <w:t xml:space="preserve">93611610081040000140</w:t>
      </w:r>
      <w:r>
        <w:t xml:space="preserve"> </w:t>
      </w:r>
      <w:bookmarkEnd w:id="4"/>
      <w:r>
        <w:t xml:space="preserve">«</w:t>
      </w:r>
      <w:r>
        <w:t xml:space="preserve">Платежи в целях возмещения ущерба при расторжении муниципального контракта, заключённого с муниципальным органом городского округа (муниципальным казённым учреждением), </w:t>
      </w:r>
      <w:bookmarkStart w:id="5" w:name="_Hlk158610512"/>
      <w:r>
        <w:t xml:space="preserve">в связи с односторонним отказом исполнителя (подрядчика) от его исполнения </w:t>
      </w:r>
      <w:bookmarkEnd w:id="5"/>
      <w:r>
        <w:t xml:space="preserve">(за исключением муниципального контракта, финансируемого за счёт средств муниципального дорожного фонда)</w:t>
      </w:r>
      <w:r>
        <w:t xml:space="preserve">»</w:t>
      </w:r>
      <w:r>
        <w:t xml:space="preserve"> в сумме </w:t>
      </w:r>
      <w:r>
        <w:t xml:space="preserve">262 500,0</w:t>
      </w:r>
      <w:r>
        <w:t xml:space="preserve"> руб. </w:t>
      </w:r>
      <w:bookmarkStart w:id="6" w:name="_Hlk158610488"/>
      <w:r>
        <w:t xml:space="preserve">поступление денежных средств в соответствии</w:t>
      </w:r>
      <w:r>
        <w:t xml:space="preserve"> с независимой банковской гарантией</w:t>
      </w:r>
      <w:bookmarkEnd w:id="6"/>
      <w:r>
        <w:t xml:space="preserve"> от 20.04.2023 №788435-БГ/23, выданной ООО «Полития».</w:t>
      </w:r>
      <w:r/>
    </w:p>
    <w:p>
      <w:pPr>
        <w:pStyle w:val="719"/>
        <w:ind w:firstLine="709"/>
        <w:jc w:val="both"/>
      </w:pPr>
      <w:r>
        <w:t xml:space="preserve">Утвержденные бюджетные назначения (прогнозные показатели) по коду составили </w:t>
      </w:r>
      <w:r>
        <w:t xml:space="preserve">262 000</w:t>
      </w:r>
      <w:r>
        <w:t xml:space="preserve">,0 руб., процент исполнения составил </w:t>
      </w:r>
      <w:r>
        <w:t xml:space="preserve">100,19</w:t>
      </w:r>
      <w:r>
        <w:t xml:space="preserve"> %.</w:t>
      </w:r>
      <w:r/>
    </w:p>
    <w:p>
      <w:pPr>
        <w:pStyle w:val="719"/>
        <w:ind w:firstLine="709"/>
        <w:jc w:val="both"/>
      </w:pPr>
      <w:r>
        <w:rPr>
          <w:color w:val="000000"/>
        </w:rPr>
        <w:t xml:space="preserve">Уточненные бюджетные назначения на 20</w:t>
      </w:r>
      <w:r>
        <w:rPr>
          <w:color w:val="000000"/>
        </w:rPr>
        <w:t xml:space="preserve">2</w:t>
      </w:r>
      <w:r>
        <w:rPr>
          <w:color w:val="000000"/>
        </w:rPr>
        <w:t xml:space="preserve">3</w:t>
      </w:r>
      <w:r>
        <w:rPr>
          <w:color w:val="000000"/>
        </w:rPr>
        <w:t xml:space="preserve"> год составили </w:t>
      </w:r>
      <w:r>
        <w:t xml:space="preserve">239 236 000,00</w:t>
      </w:r>
      <w:r>
        <w:t xml:space="preserve"> </w:t>
      </w:r>
      <w:r>
        <w:rPr>
          <w:color w:val="000000"/>
        </w:rPr>
        <w:t xml:space="preserve">руб. </w:t>
      </w:r>
      <w:r>
        <w:t xml:space="preserve">Кассовое исполнение составило –</w:t>
      </w:r>
      <w:r>
        <w:t xml:space="preserve"> </w:t>
      </w:r>
      <w:r>
        <w:t xml:space="preserve">226 535 689,90</w:t>
      </w:r>
      <w:r>
        <w:t xml:space="preserve"> </w:t>
      </w:r>
      <w:r>
        <w:t xml:space="preserve">руб.</w:t>
      </w:r>
      <w:r>
        <w:t xml:space="preserve"> </w:t>
      </w:r>
      <w:r>
        <w:t xml:space="preserve">П</w:t>
      </w:r>
      <w:r>
        <w:t xml:space="preserve">роцент исполнения по кодам бюджетной классификации на 01.01.20</w:t>
      </w:r>
      <w:r>
        <w:t xml:space="preserve">2</w:t>
      </w:r>
      <w:r>
        <w:t xml:space="preserve">4</w:t>
      </w:r>
      <w:r>
        <w:t xml:space="preserve"> </w:t>
      </w:r>
      <w:r>
        <w:t xml:space="preserve">составил </w:t>
      </w:r>
      <w:r>
        <w:t xml:space="preserve">94,69</w:t>
      </w:r>
      <w:r>
        <w:t xml:space="preserve"> </w:t>
      </w:r>
      <w:r>
        <w:t xml:space="preserve">%</w:t>
      </w:r>
      <w:r>
        <w:t xml:space="preserve">.  </w:t>
      </w:r>
      <w:r/>
    </w:p>
    <w:p>
      <w:pPr>
        <w:pStyle w:val="719"/>
        <w:ind w:firstLine="709"/>
        <w:jc w:val="both"/>
      </w:pPr>
      <w:r>
        <w:t xml:space="preserve">Н</w:t>
      </w:r>
      <w:r>
        <w:t xml:space="preserve">еисполнени</w:t>
      </w:r>
      <w:r>
        <w:t xml:space="preserve">е</w:t>
      </w:r>
      <w:r>
        <w:t xml:space="preserve"> бюджета по расходам, </w:t>
      </w:r>
      <w:r>
        <w:t xml:space="preserve">по целевой статье</w:t>
      </w:r>
      <w:r>
        <w:t xml:space="preserve"> 0320900000</w:t>
      </w:r>
      <w:r>
        <w:t xml:space="preserve"> составило 12 493 300,0 руб., в связи с поздним доведением бюджетных средств (21.12.23) и невозможностью проведения конкурсных процедур.</w:t>
      </w:r>
      <w:r>
        <w:t xml:space="preserve"> </w:t>
      </w:r>
      <w:r/>
    </w:p>
    <w:p>
      <w:pPr>
        <w:pStyle w:val="719"/>
        <w:ind w:firstLine="709"/>
        <w:jc w:val="both"/>
      </w:pPr>
      <w:r>
        <w:t xml:space="preserve">Остаток </w:t>
      </w:r>
      <w:r>
        <w:t xml:space="preserve">в сумме</w:t>
      </w:r>
      <w:r>
        <w:t xml:space="preserve"> </w:t>
      </w:r>
      <w:r>
        <w:t xml:space="preserve">12 700 310,10</w:t>
      </w:r>
      <w:r>
        <w:t xml:space="preserve"> </w:t>
      </w:r>
      <w:r>
        <w:t xml:space="preserve">руб</w:t>
      </w:r>
      <w:r>
        <w:t xml:space="preserve">.</w:t>
      </w:r>
      <w:r>
        <w:t xml:space="preserve"> </w:t>
      </w:r>
      <w:r>
        <w:t xml:space="preserve">–</w:t>
      </w:r>
      <w:r>
        <w:t xml:space="preserve"> </w:t>
      </w:r>
      <w:r>
        <w:t xml:space="preserve">экономия по </w:t>
      </w:r>
      <w:r>
        <w:t xml:space="preserve">закупкам</w:t>
      </w:r>
      <w:r>
        <w:t xml:space="preserve">, </w:t>
      </w:r>
      <w:r>
        <w:t xml:space="preserve">зарплате, </w:t>
      </w:r>
      <w:r>
        <w:t xml:space="preserve">текущая </w:t>
      </w:r>
      <w:r>
        <w:t xml:space="preserve">кредиторская задолженность</w:t>
      </w:r>
      <w:r>
        <w:t xml:space="preserve"> </w:t>
      </w:r>
      <w:r>
        <w:t xml:space="preserve">за декабрь</w:t>
      </w:r>
      <w:r>
        <w:t xml:space="preserve">, а также </w:t>
      </w:r>
      <w:r>
        <w:t xml:space="preserve">законтрактованные денежные средства,</w:t>
      </w:r>
      <w:r>
        <w:t xml:space="preserve"> не высвобожденные на отчетную дату в связи с предоставлением у</w:t>
      </w:r>
      <w:r>
        <w:t xml:space="preserve">слуг по 31.12.2023 включительно, н</w:t>
      </w:r>
      <w:r>
        <w:t xml:space="preserve">еисполнение бюджета по расходам, по целевой статье 0320900000</w:t>
      </w:r>
      <w:r>
        <w:t xml:space="preserve">.</w:t>
      </w:r>
      <w:r/>
    </w:p>
    <w:p>
      <w:pPr>
        <w:pStyle w:val="719"/>
        <w:ind w:firstLine="709"/>
        <w:jc w:val="center"/>
        <w:spacing w:line="300" w:lineRule="atLeast"/>
        <w:rPr>
          <w:b/>
        </w:rPr>
      </w:pPr>
      <w:r>
        <w:rPr>
          <w:b/>
        </w:rPr>
        <w:t xml:space="preserve">Р</w:t>
      </w:r>
      <w:r>
        <w:rPr>
          <w:b/>
        </w:rPr>
        <w:t xml:space="preserve">аздел 4</w:t>
      </w:r>
      <w:r>
        <w:rPr>
          <w:b/>
        </w:rPr>
      </w:r>
      <w:r/>
    </w:p>
    <w:p>
      <w:pPr>
        <w:pStyle w:val="719"/>
        <w:ind w:firstLine="709"/>
        <w:jc w:val="center"/>
        <w:spacing w:line="300" w:lineRule="atLeast"/>
        <w:rPr>
          <w:b/>
        </w:rPr>
      </w:pPr>
      <w:r>
        <w:rPr>
          <w:b/>
        </w:rPr>
        <w:t xml:space="preserve">Анализ показателей </w:t>
      </w:r>
      <w:r>
        <w:rPr>
          <w:b/>
        </w:rPr>
        <w:t xml:space="preserve">бухгалтерской</w:t>
      </w:r>
      <w:r>
        <w:rPr>
          <w:b/>
        </w:rPr>
        <w:t xml:space="preserve"> </w:t>
      </w:r>
      <w:r>
        <w:rPr>
          <w:b/>
        </w:rPr>
        <w:t xml:space="preserve">отчёт</w:t>
      </w:r>
      <w:r>
        <w:rPr>
          <w:b/>
        </w:rPr>
        <w:t xml:space="preserve">ности </w:t>
      </w:r>
      <w:r>
        <w:rPr>
          <w:b/>
        </w:rPr>
      </w:r>
      <w:r/>
    </w:p>
    <w:p>
      <w:pPr>
        <w:pStyle w:val="719"/>
        <w:ind w:firstLine="709"/>
        <w:jc w:val="center"/>
        <w:spacing w:line="300" w:lineRule="atLeast"/>
        <w:rPr>
          <w:b/>
        </w:rPr>
      </w:pPr>
      <w:r>
        <w:rPr>
          <w:b/>
        </w:rPr>
        <w:t xml:space="preserve">субъекта бюдже</w:t>
      </w:r>
      <w:r>
        <w:rPr>
          <w:b/>
        </w:rPr>
        <w:t xml:space="preserve">т</w:t>
      </w:r>
      <w:r>
        <w:rPr>
          <w:b/>
        </w:rPr>
        <w:t xml:space="preserve">ной </w:t>
      </w:r>
      <w:r>
        <w:rPr>
          <w:b/>
        </w:rPr>
        <w:t xml:space="preserve">отчёт</w:t>
      </w:r>
      <w:r>
        <w:rPr>
          <w:b/>
        </w:rPr>
        <w:t xml:space="preserve">ности</w:t>
      </w:r>
      <w:r>
        <w:rPr>
          <w:b/>
        </w:rPr>
      </w:r>
      <w:r/>
    </w:p>
    <w:p>
      <w:pPr>
        <w:pStyle w:val="719"/>
        <w:ind w:firstLine="709"/>
        <w:jc w:val="both"/>
        <w:spacing w:line="300" w:lineRule="atLeast"/>
      </w:pPr>
      <w:r>
        <w:t xml:space="preserve">В форме 0503125 п</w:t>
      </w:r>
      <w:r>
        <w:t xml:space="preserve">о </w:t>
      </w:r>
      <w:r>
        <w:t xml:space="preserve">счёт</w:t>
      </w:r>
      <w:r>
        <w:t xml:space="preserve">у</w:t>
      </w:r>
      <w:r>
        <w:t xml:space="preserve"> </w:t>
      </w:r>
      <w:r>
        <w:t xml:space="preserve">401</w:t>
      </w:r>
      <w:r>
        <w:t xml:space="preserve">20281</w:t>
      </w:r>
      <w:r>
        <w:t xml:space="preserve"> </w:t>
      </w:r>
      <w:r>
        <w:t xml:space="preserve">–</w:t>
      </w:r>
      <w:r>
        <w:t xml:space="preserve"> отражен</w:t>
      </w:r>
      <w:r>
        <w:t xml:space="preserve">а передача</w:t>
      </w:r>
      <w:r>
        <w:t xml:space="preserve"> </w:t>
      </w:r>
      <w:r>
        <w:t xml:space="preserve">основных средств и начисленной амортизации по счету 10134000 - 101 762,25</w:t>
      </w:r>
      <w:r>
        <w:t xml:space="preserve"> руб.</w:t>
      </w:r>
      <w:r>
        <w:t xml:space="preserve">, </w:t>
      </w:r>
      <w:bookmarkStart w:id="7" w:name="_Hlk158609952"/>
      <w:r>
        <w:t xml:space="preserve">по счету 10434000 </w:t>
      </w:r>
      <w:bookmarkEnd w:id="7"/>
      <w:r>
        <w:t xml:space="preserve">- 98 162,25 руб., по счету 10136000 - 117 056,25 руб., по счету 10436000 – 107 405,14 руб.</w:t>
      </w:r>
      <w:r>
        <w:t xml:space="preserve"> Не начислена амортизация </w:t>
      </w:r>
      <w:r>
        <w:t xml:space="preserve">на основные средства,</w:t>
      </w:r>
      <w:r>
        <w:t xml:space="preserve"> восстановленные с забаланс</w:t>
      </w:r>
      <w:r>
        <w:t xml:space="preserve">овых счетов</w:t>
      </w:r>
      <w:r>
        <w:t xml:space="preserve"> на сумму 13 251,11 руб.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Форма 0503127 «</w:t>
      </w:r>
      <w:r>
        <w:t xml:space="preserve">Отчёт</w:t>
      </w:r>
      <w:r>
        <w:t xml:space="preserve"> об исполнении бюджета главного распорядит</w:t>
      </w:r>
      <w:r>
        <w:t xml:space="preserve">е</w:t>
      </w:r>
      <w:r>
        <w:t xml:space="preserve">ля (распорядителя), получателя средств бюджета, главного админ</w:t>
      </w:r>
      <w:r>
        <w:t xml:space="preserve">и</w:t>
      </w:r>
      <w:r>
        <w:t xml:space="preserve">стратора, администратора источников финансирования дефицита бю</w:t>
      </w:r>
      <w:r>
        <w:t xml:space="preserve">д</w:t>
      </w:r>
      <w:r>
        <w:t xml:space="preserve">жета, главного </w:t>
      </w:r>
      <w:r>
        <w:t xml:space="preserve">администратора,  </w:t>
      </w:r>
      <w:r>
        <w:t xml:space="preserve">           </w:t>
      </w:r>
      <w:r>
        <w:t xml:space="preserve">администр</w:t>
      </w:r>
      <w:r>
        <w:t xml:space="preserve">а</w:t>
      </w:r>
      <w:r>
        <w:t xml:space="preserve">тора доходов бюджета»: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Доходы бюджета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В </w:t>
      </w:r>
      <w:r>
        <w:t xml:space="preserve">графе 4 строке 010 по коду дохода 11302994040031130 отражены утвержденные бюджетные</w:t>
      </w:r>
      <w:r>
        <w:t xml:space="preserve"> назначения</w:t>
      </w:r>
      <w:r>
        <w:t xml:space="preserve"> </w:t>
      </w:r>
      <w:r>
        <w:t xml:space="preserve">в сумме </w:t>
      </w:r>
      <w:r>
        <w:t xml:space="preserve">5000</w:t>
      </w:r>
      <w:r>
        <w:t xml:space="preserve">,0 </w:t>
      </w:r>
      <w:r>
        <w:t xml:space="preserve">руб., </w:t>
      </w:r>
      <w:r>
        <w:t xml:space="preserve">исполнено</w:t>
      </w:r>
      <w:r>
        <w:t xml:space="preserve"> графа 5 строка 010 в сумме</w:t>
      </w:r>
      <w:r>
        <w:t xml:space="preserve"> </w:t>
      </w:r>
      <w:r>
        <w:t xml:space="preserve">5060,6</w:t>
      </w:r>
      <w:r>
        <w:t xml:space="preserve"> </w:t>
      </w:r>
      <w:r>
        <w:t xml:space="preserve">руб. </w:t>
      </w:r>
      <w:r>
        <w:t xml:space="preserve">отражена</w:t>
      </w:r>
      <w:r>
        <w:t xml:space="preserve"> </w:t>
      </w:r>
      <w:r>
        <w:t xml:space="preserve">начисленная в 2022 году и сторнированная в 2023 году надбавка за секретность (отменено распоряжение по ее установлению в 2023 году), перечисленная в доход бюджета.</w:t>
      </w:r>
      <w:r/>
    </w:p>
    <w:p>
      <w:pPr>
        <w:pStyle w:val="719"/>
        <w:ind w:firstLine="709"/>
        <w:jc w:val="both"/>
        <w:spacing w:line="300" w:lineRule="atLeast"/>
      </w:pPr>
      <w:r/>
      <w:bookmarkStart w:id="8" w:name="_Hlk158610289"/>
      <w:r>
        <w:t xml:space="preserve">В графе 4 строке 010 по коду дохода </w:t>
      </w:r>
      <w:bookmarkEnd w:id="8"/>
      <w:r>
        <w:t xml:space="preserve">1 16 07010 04 0000 140 </w:t>
      </w:r>
      <w:bookmarkStart w:id="9" w:name="_Hlk158610441"/>
      <w:r>
        <w:t xml:space="preserve">отражены утвержденные бюджетные назначения в сумме </w:t>
      </w:r>
      <w:r>
        <w:t xml:space="preserve">5</w:t>
      </w:r>
      <w:r>
        <w:t xml:space="preserve"> 000,0 руб., исполнено графа 5 строка 010 в сумме </w:t>
      </w:r>
      <w:r>
        <w:t xml:space="preserve">5104,69 руб</w:t>
      </w:r>
      <w:bookmarkEnd w:id="9"/>
      <w:r>
        <w:t xml:space="preserve">. сложились в связи с проведением претензионной работы</w:t>
      </w:r>
      <w:r>
        <w:t xml:space="preserve">.</w:t>
      </w:r>
      <w:r/>
    </w:p>
    <w:p>
      <w:pPr>
        <w:pStyle w:val="719"/>
        <w:ind w:firstLine="709"/>
        <w:jc w:val="both"/>
        <w:spacing w:line="300" w:lineRule="atLeast"/>
      </w:pPr>
      <w:r/>
      <w:bookmarkStart w:id="10" w:name="_Hlk158610428"/>
      <w:r>
        <w:t xml:space="preserve">В графе 4 строке 010 по коду дохода </w:t>
      </w:r>
      <w:bookmarkEnd w:id="10"/>
      <w:r>
        <w:t xml:space="preserve">93611609040040000140 отражены утвержденные бюджетные назначения в сумме 13 000,0 руб., исполнено графа 5 строка 010 в сумме в сумме 13250,0 руб. поступление денежных средств в соответствии с решением суда.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В графе 4 строке 010 по коду дохода 93611610081040000140 отражены утвержденные бюджетные назначения в</w:t>
      </w:r>
      <w:r>
        <w:t xml:space="preserve"> сумме 262 000,0 руб., исполнено графа 5 строка 010 в сумме 262 500,0 руб., поступление денежных средств в соответствии с независимой банковской гарантией в связи с односторонним отказом исполнителя (подрядчика) от его исполнения муниципального контракта. </w:t>
      </w:r>
      <w:r/>
    </w:p>
    <w:p>
      <w:pPr>
        <w:pStyle w:val="7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форме 0503128 «</w:t>
      </w:r>
      <w:r>
        <w:rPr>
          <w:rFonts w:ascii="Times New Roman" w:hAnsi="Times New Roman"/>
          <w:sz w:val="28"/>
          <w:szCs w:val="28"/>
        </w:rPr>
        <w:t xml:space="preserve">Отчёт</w:t>
      </w:r>
      <w:r>
        <w:rPr>
          <w:rFonts w:ascii="Times New Roman" w:hAnsi="Times New Roman"/>
          <w:sz w:val="28"/>
          <w:szCs w:val="28"/>
        </w:rPr>
        <w:t xml:space="preserve"> о бюджетных обязательствах» (далее – форма 0503128) в </w:t>
      </w:r>
      <w:r>
        <w:rPr>
          <w:rFonts w:ascii="Times New Roman" w:hAnsi="Times New Roman"/>
          <w:sz w:val="28"/>
          <w:szCs w:val="28"/>
        </w:rPr>
        <w:t xml:space="preserve">первом разделе </w:t>
      </w:r>
      <w:r>
        <w:rPr>
          <w:rFonts w:ascii="Times New Roman" w:hAnsi="Times New Roman"/>
          <w:sz w:val="28"/>
          <w:szCs w:val="28"/>
        </w:rPr>
        <w:t xml:space="preserve">не исполнено бюджетных обязательств</w:t>
      </w:r>
      <w:r>
        <w:rPr>
          <w:rFonts w:ascii="Times New Roman" w:hAnsi="Times New Roman"/>
          <w:sz w:val="28"/>
          <w:szCs w:val="28"/>
        </w:rPr>
        <w:t xml:space="preserve"> (далее – БО)  на сумму </w:t>
      </w:r>
      <w:r>
        <w:rPr>
          <w:rFonts w:ascii="Times New Roman" w:hAnsi="Times New Roman"/>
          <w:sz w:val="28"/>
          <w:szCs w:val="28"/>
        </w:rPr>
        <w:t xml:space="preserve">148 844,42, не исполнено денежных обязательств (далее - ДО) 15 793,42 руб., а именно по КВР 121 по гр. 12 ф.0503128 отражена сумма неисполненных принятых ДО в размере 17317,64 рублей, которая складывается из начисл</w:t>
      </w:r>
      <w:r>
        <w:rPr>
          <w:rFonts w:ascii="Times New Roman" w:hAnsi="Times New Roman"/>
          <w:sz w:val="28"/>
          <w:szCs w:val="28"/>
        </w:rPr>
        <w:t xml:space="preserve">енной, но не перечисленной суммы профсоюзных взносов за декабрь 2023 (20 896,64 рублей), начисленного, но не перечисленного подоходного налога по КОСГУ 266 за декабрь 2023 (982,0 рубля), и переплаты по подоходному налогу по КОСГУ 211 в сумме 4561,0 рублей.</w:t>
      </w:r>
      <w:r/>
    </w:p>
    <w:p>
      <w:pPr>
        <w:pStyle w:val="7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КВР 129 по гр. 12 ф</w:t>
      </w:r>
      <w:r>
        <w:rPr>
          <w:rFonts w:ascii="Times New Roman" w:hAnsi="Times New Roman"/>
          <w:sz w:val="28"/>
          <w:szCs w:val="28"/>
        </w:rPr>
        <w:t xml:space="preserve">ормы </w:t>
      </w:r>
      <w:r>
        <w:rPr>
          <w:rFonts w:ascii="Times New Roman" w:hAnsi="Times New Roman"/>
          <w:sz w:val="28"/>
          <w:szCs w:val="28"/>
        </w:rPr>
        <w:t xml:space="preserve">0503128 отражена сумма неисполненных принятых ДО и БО в размере (-1 524,22) рублей, сложившаяся из дебиторской задолженности по страховым взносам, сторнированным за 2022 год в 2023 году (отменена надбавка за секретность).</w:t>
      </w:r>
      <w:r/>
    </w:p>
    <w:p>
      <w:pPr>
        <w:pStyle w:val="7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третьем разделе форм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0503128 по строке 860 графы 7 отражена сумма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6 405 909,19 </w:t>
      </w:r>
      <w:r>
        <w:rPr>
          <w:rFonts w:ascii="Times New Roman" w:hAnsi="Times New Roman"/>
          <w:sz w:val="28"/>
          <w:szCs w:val="28"/>
        </w:rPr>
        <w:t xml:space="preserve">руб</w:t>
      </w:r>
      <w:r>
        <w:rPr>
          <w:rFonts w:ascii="Times New Roman" w:hAnsi="Times New Roman"/>
          <w:sz w:val="28"/>
          <w:szCs w:val="28"/>
        </w:rPr>
        <w:t xml:space="preserve">., сумма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зервов на оплату отпусков, без утвержденных лимитов бюджетных обяз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тельств и доведенных бюджетных ассигнований, по графе 9 денежные обяз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тельства отражена сумма </w:t>
      </w:r>
      <w:r>
        <w:rPr>
          <w:rFonts w:ascii="Times New Roman" w:hAnsi="Times New Roman"/>
          <w:sz w:val="28"/>
          <w:szCs w:val="28"/>
        </w:rPr>
        <w:t xml:space="preserve">116 </w:t>
      </w:r>
      <w:r>
        <w:rPr>
          <w:rFonts w:ascii="Times New Roman" w:hAnsi="Times New Roman"/>
          <w:sz w:val="28"/>
          <w:szCs w:val="28"/>
        </w:rPr>
        <w:t xml:space="preserve">453,93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</w:t>
      </w:r>
      <w:r>
        <w:rPr>
          <w:rFonts w:ascii="Times New Roman" w:hAnsi="Times New Roman"/>
          <w:sz w:val="28"/>
          <w:szCs w:val="28"/>
        </w:rPr>
        <w:t xml:space="preserve">., сумма кредиторской задо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женности ф.0503169.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Форма 0503130 «Баланс главного распорядителя, распорядителя, пол</w:t>
      </w:r>
      <w:r>
        <w:t xml:space="preserve">у</w:t>
      </w:r>
      <w:r>
        <w:t xml:space="preserve">чателя бюджетных средств, главного администратора, администратора и</w:t>
      </w:r>
      <w:r>
        <w:t xml:space="preserve">с</w:t>
      </w:r>
      <w:r>
        <w:t xml:space="preserve">точников финансирования дефицита бюджета, главного администратора, а</w:t>
      </w:r>
      <w:r>
        <w:t xml:space="preserve">д</w:t>
      </w:r>
      <w:r>
        <w:t xml:space="preserve">министратора доходов бюджета</w:t>
      </w:r>
      <w:r>
        <w:t xml:space="preserve">»</w:t>
      </w:r>
      <w:r>
        <w:t xml:space="preserve">.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По строке 160 графы 8 отражена сумма </w:t>
      </w:r>
      <w:r>
        <w:t xml:space="preserve">61 361,17 </w:t>
      </w:r>
      <w:r>
        <w:t xml:space="preserve">руб.: </w:t>
      </w:r>
      <w:r>
        <w:t xml:space="preserve">по счёту 140150226 на сумму – 46</w:t>
      </w:r>
      <w:r>
        <w:t xml:space="preserve"> </w:t>
      </w:r>
      <w:r>
        <w:t xml:space="preserve">707,02 руб. сертификат активации сервиса технической поддержки ПАК ViPNet, 3</w:t>
      </w:r>
      <w:r>
        <w:t xml:space="preserve"> </w:t>
      </w:r>
      <w:r>
        <w:t xml:space="preserve">589,76 руб. право пользования простой неисключительной лицензией;</w:t>
      </w:r>
      <w:r>
        <w:t xml:space="preserve">                 </w:t>
      </w:r>
      <w:r>
        <w:t xml:space="preserve"> 2</w:t>
      </w:r>
      <w:r>
        <w:t xml:space="preserve"> </w:t>
      </w:r>
      <w:r>
        <w:t xml:space="preserve">685,34 руб. право использования программы ЭВМ;</w:t>
      </w:r>
      <w:r>
        <w:t xml:space="preserve"> срок полезного использования составляет не более 12 месяцев и истекает в 2</w:t>
      </w:r>
      <w:r>
        <w:t xml:space="preserve">024 году;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по счёту 140150227 на су</w:t>
      </w:r>
      <w:r>
        <w:t xml:space="preserve">мму 8379,05 руб. - полисы ОСАГО</w:t>
      </w:r>
      <w:r>
        <w:t xml:space="preserve"> </w:t>
      </w:r>
      <w:r>
        <w:t xml:space="preserve">срок полезного использования</w:t>
      </w:r>
      <w:r>
        <w:t xml:space="preserve"> составляет не более 12 месяцев и истекает в 2024 году.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По строке 101 графы 6,8 отражены показатели по счёту 1116I000 «Права пользования активами» в сумме </w:t>
      </w:r>
      <w:r>
        <w:t xml:space="preserve">142 200,00 </w:t>
      </w:r>
      <w:r>
        <w:t xml:space="preserve">руб. 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показатель по строке </w:t>
      </w:r>
      <w:r>
        <w:t xml:space="preserve">200 графе </w:t>
      </w:r>
      <w:r>
        <w:t xml:space="preserve">3</w:t>
      </w:r>
      <w:r>
        <w:t xml:space="preserve"> на начало года составляет </w:t>
      </w:r>
      <w:bookmarkStart w:id="11" w:name="_Hlk158611520"/>
      <w:r>
        <w:t xml:space="preserve">70 134,45 </w:t>
      </w:r>
      <w:bookmarkEnd w:id="11"/>
      <w:r>
        <w:t xml:space="preserve">руб., из них: по строке 207 по счёту 120130000 равен </w:t>
      </w:r>
      <w:r>
        <w:t xml:space="preserve">70 134,45 </w:t>
      </w:r>
      <w:r>
        <w:t xml:space="preserve">руб. (маркированные почтовые конверты)</w:t>
      </w:r>
      <w:r>
        <w:t xml:space="preserve">, по строке 201 по счёту 330401000 </w:t>
      </w:r>
      <w:r>
        <w:t xml:space="preserve">графе 7 </w:t>
      </w:r>
      <w:r>
        <w:t xml:space="preserve">составляет </w:t>
      </w:r>
      <w:r>
        <w:t xml:space="preserve">9 305</w:t>
      </w:r>
      <w:r>
        <w:t xml:space="preserve"> руб. (обеспечение гарантийных обязательств)</w:t>
      </w:r>
      <w:r>
        <w:t xml:space="preserve">;</w:t>
      </w:r>
      <w:r>
        <w:t xml:space="preserve"> </w:t>
      </w:r>
      <w:r>
        <w:t xml:space="preserve">показатель по строке </w:t>
      </w:r>
      <w:r>
        <w:t xml:space="preserve">200 графе 8 на конец года составляет </w:t>
      </w:r>
      <w:r>
        <w:t xml:space="preserve">78 033,95 </w:t>
      </w:r>
      <w:r>
        <w:t xml:space="preserve">руб.,</w:t>
      </w:r>
      <w:r>
        <w:t xml:space="preserve"> из них: </w:t>
      </w:r>
      <w:r>
        <w:t xml:space="preserve">по строке 201</w:t>
      </w:r>
      <w:r>
        <w:t xml:space="preserve"> по </w:t>
      </w:r>
      <w:r>
        <w:t xml:space="preserve">счёт</w:t>
      </w:r>
      <w:r>
        <w:t xml:space="preserve">у 330401000 </w:t>
      </w:r>
      <w:r>
        <w:t xml:space="preserve">– 9305,0</w:t>
      </w:r>
      <w:r>
        <w:t xml:space="preserve"> </w:t>
      </w:r>
      <w:r>
        <w:t xml:space="preserve">руб. </w:t>
      </w:r>
      <w:r>
        <w:t xml:space="preserve">по строке </w:t>
      </w:r>
      <w:r>
        <w:t xml:space="preserve">207 по счёту 120130000 равен</w:t>
      </w:r>
      <w:r>
        <w:t xml:space="preserve"> </w:t>
      </w:r>
      <w:r>
        <w:t xml:space="preserve">68 728,95 </w:t>
      </w:r>
      <w:r>
        <w:t xml:space="preserve">руб. (маркированные почтовые конверты)</w:t>
      </w:r>
      <w:r>
        <w:t xml:space="preserve">.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По строке 260 графе 3 на начало года отражена сумма </w:t>
      </w:r>
      <w:r>
        <w:t xml:space="preserve">1 405,50 </w:t>
      </w:r>
      <w:r>
        <w:t xml:space="preserve">руб</w:t>
      </w:r>
      <w:r>
        <w:t xml:space="preserve">.</w:t>
      </w:r>
      <w:r>
        <w:t xml:space="preserve">, на конец года по графе 6 отражена сумма</w:t>
      </w:r>
      <w:r>
        <w:t xml:space="preserve"> 7 490,72</w:t>
      </w:r>
      <w:r>
        <w:t xml:space="preserve"> руб.</w:t>
      </w:r>
      <w:r>
        <w:t xml:space="preserve"> выданы под отчёт маркированные конверты</w:t>
      </w:r>
      <w:r>
        <w:t xml:space="preserve"> 1405,50 руб., переплата НДФЛ и страховых взносов 6 079,15 руб., переплата 6,07 взносов по травматизму.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В справке о наличии имущества и обязательств на забалансовых </w:t>
      </w:r>
      <w:r>
        <w:t xml:space="preserve">сч</w:t>
      </w:r>
      <w:r>
        <w:t xml:space="preserve">е</w:t>
      </w:r>
      <w:r>
        <w:t xml:space="preserve">т</w:t>
      </w:r>
      <w:r>
        <w:t xml:space="preserve">ах</w:t>
      </w:r>
      <w:r>
        <w:t xml:space="preserve">: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по счёту 01 числится </w:t>
      </w:r>
      <w:r>
        <w:t xml:space="preserve">недвижимое имущество</w:t>
      </w:r>
      <w:r>
        <w:t xml:space="preserve"> и движимое имущество</w:t>
      </w:r>
      <w:r>
        <w:t xml:space="preserve">,</w:t>
      </w:r>
      <w:r>
        <w:t xml:space="preserve"> переданное в безвозмездное </w:t>
      </w:r>
      <w:r>
        <w:t xml:space="preserve">п</w:t>
      </w:r>
      <w:r>
        <w:t xml:space="preserve">ользование</w:t>
      </w:r>
      <w:r>
        <w:t xml:space="preserve"> в сумме </w:t>
      </w:r>
      <w:r>
        <w:t xml:space="preserve">20 186 754,21 </w:t>
      </w:r>
      <w:r>
        <w:t xml:space="preserve">руб., не является объектом учёта аренды</w:t>
      </w:r>
      <w:r>
        <w:t xml:space="preserve">;</w:t>
      </w:r>
      <w:r>
        <w:t xml:space="preserve"> </w:t>
      </w:r>
      <w:r>
        <w:t xml:space="preserve">п</w:t>
      </w:r>
      <w:r>
        <w:t xml:space="preserve">о счёту 0</w:t>
      </w:r>
      <w:r>
        <w:t xml:space="preserve">4</w:t>
      </w:r>
      <w:r>
        <w:t xml:space="preserve"> числится </w:t>
      </w:r>
      <w:r>
        <w:t xml:space="preserve">задолженность, признанная решением комиссии в 2022 году сомнительной (в связи с приостановлением следствия в связи с не установлением лица, подлежащего привлечению в качестве обвиняемого</w:t>
      </w:r>
      <w:r>
        <w:t xml:space="preserve"> в сумме 353 120,00 руб</w:t>
      </w:r>
      <w:r>
        <w:t xml:space="preserve">.</w:t>
      </w:r>
      <w:r>
        <w:t xml:space="preserve">;</w:t>
      </w:r>
      <w:r>
        <w:t xml:space="preserve"> </w:t>
      </w:r>
      <w:r>
        <w:t xml:space="preserve">по счёту 07 отражены новогодние подарочные кондитерские наборы выданные в январе 202</w:t>
      </w:r>
      <w:r>
        <w:t xml:space="preserve">4</w:t>
      </w:r>
      <w:r>
        <w:t xml:space="preserve"> года в сумме </w:t>
      </w:r>
      <w:r>
        <w:t xml:space="preserve">1 868 530,40 </w:t>
      </w:r>
      <w:r>
        <w:t xml:space="preserve">руб.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Форма 0503168</w:t>
      </w:r>
      <w:r>
        <w:t xml:space="preserve"> «Сведения о движении нефинансовых активов </w:t>
      </w:r>
      <w:r/>
    </w:p>
    <w:p>
      <w:pPr>
        <w:pStyle w:val="719"/>
        <w:ind w:firstLine="709"/>
        <w:jc w:val="both"/>
        <w:rPr>
          <w:b/>
        </w:rPr>
      </w:pPr>
      <w:r>
        <w:t xml:space="preserve">По состоянию на 01.01.20</w:t>
      </w:r>
      <w:r>
        <w:t xml:space="preserve">2</w:t>
      </w:r>
      <w:r>
        <w:t xml:space="preserve">4</w:t>
      </w:r>
      <w:r>
        <w:t xml:space="preserve"> на балансе </w:t>
      </w:r>
      <w:r>
        <w:t xml:space="preserve">управления </w:t>
      </w:r>
      <w:r>
        <w:t xml:space="preserve">числится основных средств на общую су</w:t>
      </w:r>
      <w:r>
        <w:t xml:space="preserve">м</w:t>
      </w:r>
      <w:r>
        <w:t xml:space="preserve">му</w:t>
      </w:r>
      <w:r>
        <w:t xml:space="preserve"> -</w:t>
      </w:r>
      <w:r>
        <w:t xml:space="preserve"> </w:t>
      </w:r>
      <w:r>
        <w:t xml:space="preserve">26 798 032,89 </w:t>
      </w:r>
      <w:r>
        <w:t xml:space="preserve">руб.</w:t>
      </w:r>
      <w:r>
        <w:rPr>
          <w:b/>
        </w:rPr>
        <w:t xml:space="preserve">   </w:t>
      </w:r>
      <w:r/>
    </w:p>
    <w:p>
      <w:pPr>
        <w:pStyle w:val="719"/>
        <w:ind w:firstLine="709"/>
        <w:jc w:val="both"/>
        <w:rPr>
          <w:b/>
        </w:rPr>
      </w:pPr>
      <w:r>
        <w:t xml:space="preserve">Остаточная </w:t>
      </w:r>
      <w:r>
        <w:t xml:space="preserve">стоимость основных</w:t>
      </w:r>
      <w:r>
        <w:t xml:space="preserve"> средств </w:t>
      </w:r>
      <w:r>
        <w:t xml:space="preserve">на 01.01.20</w:t>
      </w:r>
      <w:r>
        <w:t xml:space="preserve">2</w:t>
      </w:r>
      <w:r>
        <w:t xml:space="preserve">4</w:t>
      </w:r>
      <w:r>
        <w:t xml:space="preserve"> </w:t>
      </w:r>
      <w:r>
        <w:t xml:space="preserve">составляет </w:t>
      </w:r>
      <w:r>
        <w:t xml:space="preserve">–</w:t>
      </w:r>
      <w:r>
        <w:t xml:space="preserve"> </w:t>
      </w:r>
      <w:r>
        <w:t xml:space="preserve">                11 939 927,62 </w:t>
      </w:r>
      <w:r>
        <w:t xml:space="preserve">руб.</w:t>
      </w:r>
      <w:r>
        <w:rPr>
          <w:b/>
        </w:rPr>
      </w:r>
      <w:r/>
    </w:p>
    <w:p>
      <w:pPr>
        <w:pStyle w:val="719"/>
        <w:ind w:firstLine="709"/>
        <w:jc w:val="both"/>
      </w:pPr>
      <w:r>
        <w:t xml:space="preserve">П</w:t>
      </w:r>
      <w:r>
        <w:t xml:space="preserve">риобре</w:t>
      </w:r>
      <w:r>
        <w:t xml:space="preserve">тено</w:t>
      </w:r>
      <w:r>
        <w:t xml:space="preserve"> основны</w:t>
      </w:r>
      <w:r>
        <w:t xml:space="preserve">х</w:t>
      </w:r>
      <w:r>
        <w:t xml:space="preserve"> средств </w:t>
      </w:r>
      <w:r>
        <w:t xml:space="preserve">для нужд управления </w:t>
      </w:r>
      <w:r>
        <w:t xml:space="preserve">и МКУ Источник </w:t>
      </w:r>
      <w:r>
        <w:t xml:space="preserve">на сумму</w:t>
      </w:r>
      <w:r>
        <w:t xml:space="preserve"> </w:t>
      </w:r>
      <w:r>
        <w:t xml:space="preserve">965 994,13</w:t>
      </w:r>
      <w:r>
        <w:t xml:space="preserve">руб</w:t>
      </w:r>
      <w:r>
        <w:t xml:space="preserve">.</w:t>
      </w:r>
      <w:r>
        <w:t xml:space="preserve"> (</w:t>
      </w:r>
      <w:r>
        <w:t xml:space="preserve">пожарная сигнализация</w:t>
      </w:r>
      <w:r>
        <w:t xml:space="preserve">, </w:t>
      </w:r>
      <w:r>
        <w:t xml:space="preserve">компьютеры, средство защиты информации ПАК</w:t>
      </w:r>
      <w:r>
        <w:t xml:space="preserve">)</w:t>
      </w:r>
      <w:r>
        <w:t xml:space="preserve">, в том числе модернизировано основных средств на 3</w:t>
      </w:r>
      <w:r>
        <w:t xml:space="preserve">6 </w:t>
      </w:r>
      <w:r>
        <w:t xml:space="preserve">200,0 руб.</w:t>
      </w:r>
      <w:r>
        <w:t xml:space="preserve"> </w:t>
      </w:r>
      <w:r>
        <w:t xml:space="preserve">Передано</w:t>
      </w:r>
      <w:r>
        <w:t xml:space="preserve"> безвозмездно </w:t>
      </w:r>
      <w:r>
        <w:t xml:space="preserve">на основании приказа ДМС и ГЗ от 18.04.2023 № 195 и от 02.08.2023 № 522 </w:t>
      </w:r>
      <w:r>
        <w:t xml:space="preserve">Администрации муниципального образования город Краснодар и МКУ «ОДМС МО Г. КРАСНОДАР» имущества на общую сумму </w:t>
      </w:r>
      <w:r>
        <w:t xml:space="preserve">218 818,50</w:t>
      </w:r>
      <w:r>
        <w:t xml:space="preserve"> руб.</w:t>
      </w:r>
      <w:r>
        <w:t xml:space="preserve">, амортизации 205 567,39 руб.</w:t>
      </w:r>
      <w:r>
        <w:t xml:space="preserve"> </w:t>
      </w:r>
      <w:r/>
    </w:p>
    <w:p>
      <w:pPr>
        <w:pStyle w:val="719"/>
        <w:ind w:firstLine="709"/>
        <w:jc w:val="both"/>
      </w:pPr>
      <w:r>
        <w:t xml:space="preserve">Материальные запасы на 01.01.2024 составляют 1 426 450,98 руб.</w:t>
      </w:r>
      <w:r/>
    </w:p>
    <w:p>
      <w:pPr>
        <w:pStyle w:val="719"/>
        <w:ind w:firstLine="709"/>
        <w:jc w:val="both"/>
      </w:pPr>
      <w:r>
        <w:t xml:space="preserve">Форма 0503110 «Справка по заключению учреждением счетов бюджетного учета отчетного финансового года» по счету 40110172 код 11400000000000000 отражена частичная ликвидации (разукомплектация) объекта о</w:t>
      </w:r>
      <w:r>
        <w:t xml:space="preserve">сновного средства по дебету счета 40110172 и кредиту 10134000 на сумму 19835,0 рублей, ликвидированная часть объекта перенесена на счет 02; по дебету счета 40110172 и кредиту 10136000 отражено разукомплектация двух основных средств на сумму 14494,0 рублей;</w:t>
      </w:r>
      <w:r/>
    </w:p>
    <w:p>
      <w:pPr>
        <w:pStyle w:val="719"/>
        <w:ind w:firstLine="709"/>
        <w:jc w:val="both"/>
      </w:pPr>
      <w:r>
        <w:t xml:space="preserve">принятие полученного в результате разукомплек</w:t>
      </w:r>
      <w:r>
        <w:t xml:space="preserve">тации нового инвентарного объекта учета отражено по дебету 10134310 кредиту 40110172 на сумму 4958,75 рублей, принятие полученных в результате разукомплектации двух новых объектов учета отражено по дебету 10136310 кредиту 40110172 на сумму 15348,40 рублей;</w:t>
      </w:r>
      <w:r/>
    </w:p>
    <w:p>
      <w:pPr>
        <w:pStyle w:val="719"/>
        <w:ind w:firstLine="709"/>
        <w:jc w:val="both"/>
      </w:pPr>
      <w:r>
        <w:t xml:space="preserve">по счету 40110172 код 11402042040000410 отражены восстановленные основные средства с забалансовых счетов 21.34 - 3600,0 рублей, 21.26 – 9651,11 рублей для дальнейшей передачи другому правообладателю на общую сумму 13251,11 рублей.</w:t>
      </w:r>
      <w:r/>
    </w:p>
    <w:p>
      <w:pPr>
        <w:pStyle w:val="719"/>
        <w:ind w:firstLine="709"/>
        <w:jc w:val="both"/>
      </w:pPr>
      <w:r>
        <w:t xml:space="preserve">По счету 40110</w:t>
      </w:r>
      <w:r>
        <w:t xml:space="preserve">174 отражено уменьшение суммы денежных взысканий (пеней) в соответствии с актами сверки подтверждающими наличие пеней и просьбой исполнителей списать начисленные пени в соответствии с Постановлением Правительства РФ от 04.07.2018 № 783 «О списании начислен</w:t>
      </w:r>
      <w:r>
        <w:t xml:space="preserve">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на общую сумму 17668,99 рублей по муниципальным контрактам:  </w:t>
      </w:r>
      <w:r/>
    </w:p>
    <w:p>
      <w:pPr>
        <w:pStyle w:val="719"/>
        <w:ind w:firstLine="709"/>
        <w:jc w:val="both"/>
      </w:pPr>
      <w:r>
        <w:t xml:space="preserve"> ООО «Атлас» от 10.07.2023 № 0318300119423000751_71546 - 1512,19 рублей;</w:t>
      </w:r>
      <w:r/>
    </w:p>
    <w:p>
      <w:pPr>
        <w:pStyle w:val="719"/>
        <w:ind w:firstLine="709"/>
        <w:jc w:val="both"/>
      </w:pPr>
      <w:r>
        <w:t xml:space="preserve"> ООО «Люкс-Трейд» от 15.11.2023 № 4-А/23 - 16156,80 рублей. </w:t>
      </w:r>
      <w:r/>
    </w:p>
    <w:p>
      <w:pPr>
        <w:pStyle w:val="719"/>
        <w:ind w:firstLine="709"/>
        <w:jc w:val="both"/>
        <w:tabs>
          <w:tab w:val="left" w:pos="709" w:leader="none"/>
          <w:tab w:val="left" w:pos="993" w:leader="none"/>
        </w:tabs>
      </w:pPr>
      <w:r>
        <w:t xml:space="preserve">Сведения по дебиторской и кредиторской задолженности (ф.0503169)</w:t>
      </w:r>
      <w:r/>
    </w:p>
    <w:p>
      <w:pPr>
        <w:pStyle w:val="719"/>
        <w:ind w:firstLine="709"/>
        <w:jc w:val="both"/>
        <w:tabs>
          <w:tab w:val="left" w:pos="709" w:leader="none"/>
          <w:tab w:val="left" w:pos="993" w:leader="none"/>
        </w:tabs>
      </w:pPr>
      <w:r>
        <w:t xml:space="preserve">Просроченной дебиторской задолженности нет. Долгосрочной </w:t>
      </w:r>
      <w:r>
        <w:t xml:space="preserve">задолженности нет</w:t>
      </w:r>
      <w:r>
        <w:t xml:space="preserve">. </w:t>
      </w:r>
      <w:r>
        <w:t xml:space="preserve"> 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Дебиторская задолже</w:t>
      </w:r>
      <w:r>
        <w:t xml:space="preserve">нность по состоянию на </w:t>
      </w:r>
      <w:r>
        <w:t xml:space="preserve">0</w:t>
      </w:r>
      <w:r>
        <w:t xml:space="preserve">1.01.20</w:t>
      </w:r>
      <w:r>
        <w:t xml:space="preserve">2</w:t>
      </w:r>
      <w:r>
        <w:t xml:space="preserve">4</w:t>
      </w:r>
      <w:r>
        <w:t xml:space="preserve"> </w:t>
      </w:r>
      <w:r>
        <w:t xml:space="preserve">составляет</w:t>
      </w:r>
      <w:r>
        <w:t xml:space="preserve">                               </w:t>
      </w:r>
      <w:r>
        <w:t xml:space="preserve">–</w:t>
      </w:r>
      <w:r>
        <w:t xml:space="preserve"> </w:t>
      </w:r>
      <w:r>
        <w:t xml:space="preserve">7 490,72</w:t>
      </w:r>
      <w:r>
        <w:t xml:space="preserve"> </w:t>
      </w:r>
      <w:r>
        <w:t xml:space="preserve">руб.</w:t>
      </w:r>
      <w:r>
        <w:t xml:space="preserve"> (гр. 9 ф.0503169 «Всего по задолженности»)</w:t>
      </w:r>
      <w:r>
        <w:t xml:space="preserve"> </w:t>
      </w:r>
      <w:r>
        <w:t xml:space="preserve">в том числе по сегментам: 1) участники бюджетного процесса – 6 085,22 руб</w:t>
      </w:r>
      <w:r>
        <w:t xml:space="preserve">.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- по </w:t>
      </w:r>
      <w:r>
        <w:rPr>
          <w:rFonts w:eastAsia="Arial"/>
        </w:rPr>
        <w:t xml:space="preserve">счёт</w:t>
      </w:r>
      <w:r>
        <w:rPr>
          <w:rFonts w:eastAsia="Arial"/>
        </w:rPr>
        <w:t xml:space="preserve">у 120</w:t>
      </w:r>
      <w:r>
        <w:rPr>
          <w:rFonts w:eastAsia="Arial"/>
        </w:rPr>
        <w:t xml:space="preserve">821</w:t>
      </w:r>
      <w:r>
        <w:rPr>
          <w:rFonts w:eastAsia="Arial"/>
        </w:rPr>
        <w:t xml:space="preserve">00</w:t>
      </w:r>
      <w:r>
        <w:rPr>
          <w:rFonts w:eastAsia="Arial"/>
        </w:rPr>
        <w:t xml:space="preserve">0 </w:t>
      </w:r>
      <w:r>
        <w:rPr>
          <w:rFonts w:eastAsia="Arial"/>
        </w:rPr>
        <w:t xml:space="preserve">— </w:t>
      </w:r>
      <w:r>
        <w:t xml:space="preserve">1 405,50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руб.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выданы маркированные конверты</w:t>
      </w:r>
      <w:r>
        <w:rPr>
          <w:rFonts w:eastAsia="Arial"/>
        </w:rPr>
        <w:t xml:space="preserve">;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- по счету 130314000 - </w:t>
      </w:r>
      <w:r>
        <w:rPr>
          <w:rFonts w:eastAsia="Arial"/>
        </w:rPr>
        <w:t xml:space="preserve">4 561,00</w:t>
      </w:r>
      <w:r>
        <w:rPr>
          <w:rFonts w:eastAsia="Arial"/>
        </w:rPr>
        <w:t xml:space="preserve"> по КВР 121 переплата по НДФЛ, </w:t>
      </w:r>
      <w:r>
        <w:rPr>
          <w:rFonts w:eastAsia="Arial"/>
        </w:rPr>
        <w:t xml:space="preserve">1 518,15 </w:t>
      </w:r>
      <w:r>
        <w:rPr>
          <w:rFonts w:eastAsia="Arial"/>
        </w:rPr>
        <w:t xml:space="preserve">по КВР 129 переплата по страховым взносам;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- по счету 130306000 – </w:t>
      </w:r>
      <w:r>
        <w:rPr>
          <w:rFonts w:eastAsia="Arial"/>
        </w:rPr>
        <w:t xml:space="preserve">6,07 руб. </w:t>
      </w:r>
      <w:r>
        <w:rPr>
          <w:rFonts w:eastAsia="Arial"/>
        </w:rPr>
        <w:t xml:space="preserve">переплата по взносам на травматизм.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По МКУ «Источник» д</w:t>
      </w:r>
      <w:r>
        <w:rPr>
          <w:rFonts w:eastAsia="Arial"/>
        </w:rPr>
        <w:t xml:space="preserve">ебиторская задолженность на 01.01.2024 </w:t>
      </w:r>
      <w:r>
        <w:rPr>
          <w:rFonts w:eastAsia="Arial"/>
        </w:rPr>
        <w:t xml:space="preserve">отсутствует.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З</w:t>
      </w:r>
      <w:r>
        <w:rPr>
          <w:rFonts w:eastAsia="Arial"/>
        </w:rPr>
        <w:t xml:space="preserve">адолженности по текущим выплатам персоналу на конец отчетного периода нет.</w:t>
      </w:r>
      <w:r>
        <w:rPr>
          <w:rFonts w:eastAsia="Arial"/>
        </w:rPr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Кредиторская задолженность по состоянию на 01.01.202</w:t>
      </w:r>
      <w:r>
        <w:rPr>
          <w:rFonts w:eastAsia="Arial"/>
        </w:rPr>
        <w:t xml:space="preserve">4</w:t>
      </w:r>
      <w:r>
        <w:rPr>
          <w:rFonts w:eastAsia="Arial"/>
        </w:rPr>
        <w:t xml:space="preserve"> составляет                           - </w:t>
      </w:r>
      <w:r>
        <w:rPr>
          <w:rFonts w:eastAsia="Arial"/>
        </w:rPr>
        <w:t xml:space="preserve">116 453,93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руб. (гр. 9 ф.0503169 «Всего по задолженности») - текущая кредитор</w:t>
      </w:r>
      <w:r>
        <w:rPr>
          <w:rFonts w:eastAsia="Arial"/>
        </w:rPr>
        <w:t xml:space="preserve">ская задолженность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в том числе</w:t>
      </w:r>
      <w:r>
        <w:rPr>
          <w:rFonts w:eastAsia="Arial"/>
        </w:rPr>
        <w:t xml:space="preserve"> по сегментам</w:t>
      </w:r>
      <w:r>
        <w:rPr>
          <w:rFonts w:eastAsia="Arial"/>
        </w:rPr>
        <w:t xml:space="preserve">: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1) участники бюджетного процесса – </w:t>
      </w:r>
      <w:r>
        <w:rPr>
          <w:rFonts w:eastAsia="Arial"/>
        </w:rPr>
        <w:t xml:space="preserve">26 118,86 </w:t>
      </w:r>
      <w:r>
        <w:rPr>
          <w:rFonts w:eastAsia="Arial"/>
        </w:rPr>
        <w:t xml:space="preserve">руб.</w:t>
      </w:r>
      <w:r>
        <w:rPr>
          <w:rFonts w:eastAsia="Arial"/>
        </w:rPr>
        <w:t xml:space="preserve">;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2) бюджетные и автономные учреждения- 0</w:t>
      </w:r>
      <w:r>
        <w:rPr>
          <w:rFonts w:eastAsia="Arial"/>
        </w:rPr>
        <w:t xml:space="preserve"> руб.</w:t>
      </w:r>
      <w:r>
        <w:rPr>
          <w:rFonts w:eastAsia="Arial"/>
        </w:rPr>
        <w:t xml:space="preserve">;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3) внебюджетные единицы – ГУП, МУП, публично-правовые компании, государственные корпорации -</w:t>
      </w:r>
      <w:r>
        <w:rPr>
          <w:rFonts w:eastAsia="Arial"/>
        </w:rPr>
        <w:t xml:space="preserve">0 руб.</w:t>
      </w:r>
      <w:r>
        <w:rPr>
          <w:rFonts w:eastAsia="Arial"/>
        </w:rPr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  <w:i/>
        </w:rPr>
        <w:t xml:space="preserve">Управление по социальным вопросам на сумму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- </w:t>
      </w:r>
      <w:r>
        <w:t xml:space="preserve">27 888,87</w:t>
      </w:r>
      <w:r>
        <w:t xml:space="preserve"> </w:t>
      </w:r>
      <w:r>
        <w:rPr>
          <w:rFonts w:eastAsia="Arial"/>
        </w:rPr>
        <w:t xml:space="preserve">руб</w:t>
      </w:r>
      <w:r>
        <w:rPr>
          <w:rFonts w:eastAsia="Arial"/>
        </w:rPr>
        <w:t xml:space="preserve">.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в том числе по сегментам: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1) участники бюджетного процесса – </w:t>
      </w:r>
      <w:r>
        <w:t xml:space="preserve">982,0 </w:t>
      </w:r>
      <w:r>
        <w:rPr>
          <w:rFonts w:eastAsia="Arial"/>
        </w:rPr>
        <w:t xml:space="preserve">руб.;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2) бюджетные и автономные учреждения- 0 руб.;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3) внебюджетные единицы – ГУП, МУП, публично-правовые компании, государственные корпорации -0 руб.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- по </w:t>
      </w:r>
      <w:r>
        <w:rPr>
          <w:rFonts w:eastAsia="Arial"/>
        </w:rPr>
        <w:t xml:space="preserve">счёт</w:t>
      </w:r>
      <w:r>
        <w:rPr>
          <w:rFonts w:eastAsia="Arial"/>
        </w:rPr>
        <w:t xml:space="preserve">у 130221000 в сумме </w:t>
      </w:r>
      <w:r>
        <w:rPr>
          <w:rFonts w:eastAsia="Arial"/>
        </w:rPr>
        <w:t xml:space="preserve">6 010,23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руб. — задолженность за декабрь 202</w:t>
      </w:r>
      <w:r>
        <w:rPr>
          <w:rFonts w:eastAsia="Arial"/>
        </w:rPr>
        <w:t xml:space="preserve">3</w:t>
      </w:r>
      <w:r>
        <w:rPr>
          <w:rFonts w:eastAsia="Arial"/>
        </w:rPr>
        <w:t xml:space="preserve"> года по действующему договору за услуги связи, оказанные ОАО «МТС</w:t>
      </w:r>
      <w:r>
        <w:rPr>
          <w:rFonts w:eastAsia="Arial"/>
        </w:rPr>
        <w:t xml:space="preserve">»</w:t>
      </w:r>
      <w:r>
        <w:rPr>
          <w:rFonts w:eastAsia="Arial"/>
        </w:rPr>
        <w:t xml:space="preserve">; 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- по </w:t>
      </w:r>
      <w:r>
        <w:rPr>
          <w:rFonts w:eastAsia="Arial"/>
        </w:rPr>
        <w:t xml:space="preserve">счёт</w:t>
      </w:r>
      <w:r>
        <w:rPr>
          <w:rFonts w:eastAsia="Arial"/>
        </w:rPr>
        <w:t xml:space="preserve">у 130301000 в сумме </w:t>
      </w:r>
      <w:r>
        <w:rPr>
          <w:rFonts w:eastAsia="Arial"/>
        </w:rPr>
        <w:t xml:space="preserve">982</w:t>
      </w:r>
      <w:r>
        <w:rPr>
          <w:rFonts w:eastAsia="Arial"/>
        </w:rPr>
        <w:t xml:space="preserve">,0</w:t>
      </w:r>
      <w:r>
        <w:rPr>
          <w:rFonts w:eastAsia="Arial"/>
        </w:rPr>
        <w:t xml:space="preserve"> руб. задолженность по НДФЛ из зарплаты за декабрь 202</w:t>
      </w:r>
      <w:r>
        <w:rPr>
          <w:rFonts w:eastAsia="Arial"/>
        </w:rPr>
        <w:t xml:space="preserve">3</w:t>
      </w:r>
      <w:r>
        <w:rPr>
          <w:rFonts w:eastAsia="Arial"/>
        </w:rPr>
        <w:t xml:space="preserve"> г.; 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-по </w:t>
      </w:r>
      <w:r>
        <w:rPr>
          <w:rFonts w:eastAsia="Arial"/>
        </w:rPr>
        <w:t xml:space="preserve">счёт</w:t>
      </w:r>
      <w:r>
        <w:rPr>
          <w:rFonts w:eastAsia="Arial"/>
        </w:rPr>
        <w:t xml:space="preserve">у 130403000 в сумме </w:t>
      </w:r>
      <w:r>
        <w:rPr>
          <w:rFonts w:eastAsia="Arial"/>
        </w:rPr>
        <w:t xml:space="preserve">20896,64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руб. —</w:t>
      </w:r>
      <w:r>
        <w:rPr>
          <w:rFonts w:eastAsia="Arial"/>
        </w:rPr>
        <w:t xml:space="preserve">проф. взносы</w:t>
      </w:r>
      <w:r>
        <w:rPr>
          <w:rFonts w:eastAsia="Arial"/>
        </w:rPr>
        <w:t xml:space="preserve"> за декабрь 202</w:t>
      </w:r>
      <w:r>
        <w:rPr>
          <w:rFonts w:eastAsia="Arial"/>
        </w:rPr>
        <w:t xml:space="preserve">3</w:t>
      </w:r>
      <w:r>
        <w:rPr>
          <w:rFonts w:eastAsia="Arial"/>
        </w:rPr>
        <w:t xml:space="preserve">;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Резервы на оплату отпусков предусмотрены в сумме </w:t>
      </w:r>
      <w:r>
        <w:rPr>
          <w:rFonts w:eastAsia="Arial"/>
        </w:rPr>
        <w:t xml:space="preserve">4 744 414,10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руб., по </w:t>
      </w:r>
      <w:r>
        <w:rPr>
          <w:rFonts w:eastAsia="Arial"/>
        </w:rPr>
        <w:t xml:space="preserve">счёт</w:t>
      </w:r>
      <w:r>
        <w:rPr>
          <w:rFonts w:eastAsia="Arial"/>
        </w:rPr>
        <w:t xml:space="preserve">у 140160211 в сумме </w:t>
      </w:r>
      <w:r>
        <w:rPr>
          <w:rFonts w:eastAsia="Arial"/>
        </w:rPr>
        <w:t xml:space="preserve">3 643 943,19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руб., по </w:t>
      </w:r>
      <w:r>
        <w:rPr>
          <w:rFonts w:eastAsia="Arial"/>
        </w:rPr>
        <w:t xml:space="preserve">счёт</w:t>
      </w:r>
      <w:r>
        <w:rPr>
          <w:rFonts w:eastAsia="Arial"/>
        </w:rPr>
        <w:t xml:space="preserve">у 140160213 в сумме </w:t>
      </w:r>
      <w:r>
        <w:rPr>
          <w:rFonts w:eastAsia="Arial"/>
        </w:rPr>
        <w:t xml:space="preserve">1 100 470,91 </w:t>
      </w:r>
      <w:r>
        <w:rPr>
          <w:rFonts w:eastAsia="Arial"/>
        </w:rPr>
        <w:t xml:space="preserve">руб.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Просроченной кредиторской задолженности нет</w:t>
      </w:r>
      <w:r>
        <w:rPr>
          <w:rFonts w:eastAsia="Arial"/>
        </w:rPr>
        <w:t xml:space="preserve">.</w:t>
      </w:r>
      <w:r>
        <w:rPr>
          <w:rFonts w:eastAsia="Arial"/>
        </w:rPr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  <w:i/>
        </w:rPr>
        <w:t xml:space="preserve">МКУ «Источник» кредиторская задолженность в сумме</w:t>
      </w:r>
      <w:r>
        <w:rPr>
          <w:rFonts w:eastAsia="Arial"/>
          <w:i/>
        </w:rPr>
        <w:t xml:space="preserve"> </w:t>
      </w:r>
      <w:r>
        <w:rPr>
          <w:rFonts w:eastAsia="Arial"/>
          <w:i/>
        </w:rPr>
        <w:t xml:space="preserve">88</w:t>
      </w:r>
      <w:r>
        <w:rPr>
          <w:rFonts w:eastAsia="Arial"/>
          <w:i/>
        </w:rPr>
        <w:t xml:space="preserve"> </w:t>
      </w:r>
      <w:r>
        <w:rPr>
          <w:rFonts w:eastAsia="Arial"/>
          <w:i/>
        </w:rPr>
        <w:t xml:space="preserve">565,06 </w:t>
      </w:r>
      <w:r>
        <w:rPr>
          <w:rFonts w:eastAsia="Arial"/>
          <w:i/>
        </w:rPr>
        <w:t xml:space="preserve"> </w:t>
      </w:r>
      <w:r>
        <w:rPr>
          <w:rFonts w:eastAsia="Arial"/>
          <w:i/>
        </w:rPr>
        <w:t xml:space="preserve">руб.</w:t>
      </w:r>
      <w:r>
        <w:rPr>
          <w:rFonts w:eastAsia="Arial"/>
          <w:i/>
        </w:rPr>
        <w:t xml:space="preserve"> </w:t>
      </w:r>
      <w:r>
        <w:rPr>
          <w:rFonts w:eastAsia="Arial"/>
        </w:rPr>
        <w:t xml:space="preserve">в том числе по сегментам: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1) участники бюджетного процесса –</w:t>
      </w:r>
      <w:r>
        <w:rPr>
          <w:rFonts w:eastAsia="Arial"/>
        </w:rPr>
        <w:t xml:space="preserve"> </w:t>
      </w:r>
      <w:r>
        <w:t xml:space="preserve">25 136,86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руб.;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2) бюджетные и автономные учреждения- 0 руб.;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3) внебюджетные единицы – ГУП, МУП, публично-правовые компании, государственные корпорации -0 руб.</w:t>
      </w:r>
      <w:r>
        <w:rPr>
          <w:rFonts w:eastAsia="Arial"/>
        </w:rPr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по счету 130221000 в сумме 6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966,07 руб. — задолженность за декабрь 2023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года по действующему договору за услуги связи, оказанные Краснодарским фи</w:t>
      </w:r>
      <w:r>
        <w:rPr>
          <w:rFonts w:eastAsia="Arial"/>
        </w:rPr>
        <w:t xml:space="preserve">лиалом ПАО «Ростелеком».</w:t>
      </w:r>
      <w:r>
        <w:rPr>
          <w:rFonts w:eastAsia="Arial"/>
        </w:rPr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по счету 130223000 в сумме 20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597,99 руб</w:t>
      </w:r>
      <w:r>
        <w:rPr>
          <w:rFonts w:eastAsia="Arial"/>
        </w:rPr>
        <w:t xml:space="preserve">. из них</w:t>
      </w:r>
      <w:r>
        <w:rPr>
          <w:rFonts w:eastAsia="Arial"/>
        </w:rPr>
        <w:t xml:space="preserve">: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-10 351,26 </w:t>
      </w:r>
      <w:r>
        <w:rPr>
          <w:rFonts w:eastAsia="Arial"/>
        </w:rPr>
        <w:t xml:space="preserve">руб. — задолженность за декабрь 2023года по действующему договору за услуги электроэнергии, оказанные ОАО «НЭСК электросети»</w:t>
      </w:r>
      <w:r>
        <w:rPr>
          <w:rFonts w:eastAsia="Arial"/>
        </w:rPr>
        <w:t xml:space="preserve">;</w:t>
      </w:r>
      <w:r>
        <w:rPr>
          <w:rFonts w:eastAsia="Arial"/>
        </w:rPr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-3 085,83 руб.- задолженность за декабрь 2023 года по действующему договору за услуги по вывозу ТКО,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оказанные Филиалом АО «Крайжилкомресурс»</w:t>
      </w:r>
      <w:r>
        <w:rPr>
          <w:rFonts w:eastAsia="Arial"/>
        </w:rPr>
        <w:t xml:space="preserve">;</w:t>
      </w:r>
      <w:r>
        <w:rPr>
          <w:rFonts w:eastAsia="Arial"/>
        </w:rPr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-7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160,90 руб.-  задолженность за декабрь 2023 года по действующему договору за услуги по холодному водоснабжению и водоотведению,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оказанные МУП МО г. Горячий Ключ </w:t>
      </w:r>
      <w:r>
        <w:rPr>
          <w:rFonts w:eastAsia="Arial"/>
        </w:rPr>
        <w:t xml:space="preserve">«</w:t>
      </w:r>
      <w:r>
        <w:rPr>
          <w:rFonts w:eastAsia="Arial"/>
        </w:rPr>
        <w:t xml:space="preserve">Водоканал</w:t>
      </w:r>
      <w:r>
        <w:rPr>
          <w:rFonts w:eastAsia="Arial"/>
        </w:rPr>
        <w:t xml:space="preserve">».</w:t>
      </w:r>
      <w:r>
        <w:rPr>
          <w:rFonts w:eastAsia="Arial"/>
        </w:rPr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по счету 130225000 в сумме 3879,04 руб</w:t>
      </w:r>
      <w:r>
        <w:rPr>
          <w:rFonts w:eastAsia="Arial"/>
        </w:rPr>
        <w:t xml:space="preserve">.</w:t>
      </w:r>
      <w:r>
        <w:rPr>
          <w:rFonts w:eastAsia="Arial"/>
        </w:rPr>
        <w:t xml:space="preserve"> -задолженность за декабрь 2023 г. за содержание и обслуживание жилого фонда по действующему договору с ООО «Барристер»</w:t>
      </w:r>
      <w:r>
        <w:rPr>
          <w:rFonts w:eastAsia="Arial"/>
        </w:rPr>
        <w:t xml:space="preserve">.</w:t>
      </w:r>
      <w:r>
        <w:rPr>
          <w:rFonts w:eastAsia="Arial"/>
        </w:rPr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 по счёту 130234000 в сумме 31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985,10 руб</w:t>
      </w:r>
      <w:r>
        <w:rPr>
          <w:rFonts w:eastAsia="Arial"/>
        </w:rPr>
        <w:t xml:space="preserve">. </w:t>
      </w:r>
      <w:r>
        <w:rPr>
          <w:rFonts w:eastAsia="Arial"/>
        </w:rPr>
        <w:t xml:space="preserve">по действующему договору </w:t>
      </w:r>
      <w:r>
        <w:rPr>
          <w:rFonts w:eastAsia="Arial"/>
        </w:rPr>
        <w:t xml:space="preserve">с </w:t>
      </w:r>
      <w:r>
        <w:rPr>
          <w:rFonts w:eastAsia="Arial"/>
        </w:rPr>
        <w:t xml:space="preserve">ООО </w:t>
      </w:r>
      <w:r>
        <w:rPr>
          <w:rFonts w:eastAsia="Arial"/>
        </w:rPr>
        <w:t xml:space="preserve">«</w:t>
      </w:r>
      <w:r>
        <w:rPr>
          <w:rFonts w:eastAsia="Arial"/>
        </w:rPr>
        <w:t xml:space="preserve">ВКТ</w:t>
      </w:r>
      <w:r>
        <w:rPr>
          <w:rFonts w:eastAsia="Arial"/>
        </w:rPr>
        <w:t xml:space="preserve">»</w:t>
      </w:r>
      <w:r>
        <w:rPr>
          <w:rFonts w:eastAsia="Arial"/>
        </w:rPr>
        <w:t xml:space="preserve"> за бензин</w:t>
      </w:r>
      <w:r>
        <w:rPr>
          <w:rFonts w:eastAsia="Arial"/>
        </w:rPr>
        <w:t xml:space="preserve">.</w:t>
      </w:r>
      <w:r>
        <w:rPr>
          <w:rFonts w:eastAsia="Arial"/>
        </w:rPr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- по счету </w:t>
      </w:r>
      <w:r>
        <w:rPr>
          <w:rFonts w:eastAsia="Arial"/>
        </w:rPr>
        <w:t xml:space="preserve">1</w:t>
      </w:r>
      <w:r>
        <w:rPr>
          <w:rFonts w:eastAsia="Arial"/>
        </w:rPr>
        <w:t xml:space="preserve">30312000 в сумме 24</w:t>
      </w:r>
      <w:r>
        <w:rPr>
          <w:rFonts w:eastAsia="Arial"/>
        </w:rPr>
        <w:t xml:space="preserve"> </w:t>
      </w:r>
      <w:r>
        <w:rPr>
          <w:rFonts w:eastAsia="Arial"/>
        </w:rPr>
        <w:t xml:space="preserve">558,86 рублей налог на имущество</w:t>
      </w:r>
      <w:r>
        <w:rPr>
          <w:rFonts w:eastAsia="Arial"/>
        </w:rPr>
        <w:t xml:space="preserve">.</w:t>
      </w:r>
      <w:r>
        <w:rPr>
          <w:rFonts w:eastAsia="Arial"/>
        </w:rPr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- по счету </w:t>
      </w:r>
      <w:r>
        <w:rPr>
          <w:rFonts w:eastAsia="Arial"/>
        </w:rPr>
        <w:t xml:space="preserve">1</w:t>
      </w:r>
      <w:r>
        <w:rPr>
          <w:rFonts w:eastAsia="Arial"/>
        </w:rPr>
        <w:t xml:space="preserve">30305000 в сумме 578,0 рублей транспортный налог</w:t>
      </w:r>
      <w:r>
        <w:rPr>
          <w:rFonts w:eastAsia="Arial"/>
        </w:rPr>
        <w:t xml:space="preserve">.</w:t>
      </w:r>
      <w:r>
        <w:rPr>
          <w:rFonts w:eastAsia="Arial"/>
        </w:rPr>
        <w:tab/>
      </w:r>
      <w:r>
        <w:rPr>
          <w:rFonts w:eastAsia="Arial"/>
        </w:rPr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Резервы на оплату отпусков предусмотрены в сумме </w:t>
      </w:r>
      <w:r>
        <w:t xml:space="preserve">1 661 495,09</w:t>
      </w:r>
      <w:r>
        <w:rPr>
          <w:rFonts w:eastAsia="Arial"/>
        </w:rPr>
        <w:t xml:space="preserve"> руб</w:t>
      </w:r>
      <w:r>
        <w:rPr>
          <w:rFonts w:eastAsia="Arial"/>
        </w:rPr>
        <w:t xml:space="preserve">.</w:t>
      </w:r>
      <w:r>
        <w:rPr>
          <w:rFonts w:eastAsia="Arial"/>
        </w:rPr>
        <w:t xml:space="preserve">, по счету 140160211 в сумме </w:t>
      </w:r>
      <w:r>
        <w:rPr>
          <w:rFonts w:eastAsia="Arial"/>
        </w:rPr>
        <w:t xml:space="preserve">1 276 109,90 </w:t>
      </w:r>
      <w:r>
        <w:rPr>
          <w:rFonts w:eastAsia="Arial"/>
        </w:rPr>
        <w:t xml:space="preserve">руб., по счету 140160213 в сумме </w:t>
      </w:r>
      <w:r>
        <w:rPr>
          <w:rFonts w:eastAsia="Arial"/>
        </w:rPr>
        <w:t xml:space="preserve">385 385,19 </w:t>
      </w:r>
      <w:r>
        <w:rPr>
          <w:rFonts w:eastAsia="Arial"/>
        </w:rPr>
        <w:t xml:space="preserve">руб.</w:t>
      </w:r>
      <w:r/>
    </w:p>
    <w:p>
      <w:pPr>
        <w:pStyle w:val="719"/>
        <w:ind w:firstLine="709"/>
        <w:jc w:val="both"/>
        <w:rPr>
          <w:rFonts w:eastAsia="Arial"/>
        </w:rPr>
      </w:pPr>
      <w:r>
        <w:rPr>
          <w:rFonts w:eastAsia="Arial"/>
        </w:rPr>
        <w:t xml:space="preserve">Просроченной кредиторской задолженности нет.</w:t>
      </w:r>
      <w:r>
        <w:rPr>
          <w:rFonts w:eastAsia="Arial"/>
        </w:rPr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ф. 0503173 отражено изменение валюты баланса:</w:t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разделу 1, гра</w:t>
      </w:r>
      <w:r>
        <w:rPr>
          <w:rFonts w:eastAsia="Calibri"/>
          <w:lang w:eastAsia="en-US"/>
        </w:rPr>
        <w:t xml:space="preserve">фе 6 по коду 3.1 «исправление ошибок прошлых лет» в строке 010 и 020 по счету 10134000 и 10434000 отражено безвозмездное получение движимого имущества от гражданина Кулика И.В. по договору пожертвования объектов движимого имущества в муниципальную собствен</w:t>
      </w:r>
      <w:r>
        <w:rPr>
          <w:rFonts w:eastAsia="Calibri"/>
          <w:lang w:eastAsia="en-US"/>
        </w:rPr>
        <w:t xml:space="preserve">ность № 1 от 20.10.2021 (трансформаторной подстанции РУК-10 кВ  ТП 1148п и ТМ-400 кВа) на общую сумму     30 000,0 руб., и по разделу 3 графе 7 отражено получение трансформатора тока и узел учета на общую сумму 3 600, руб. Данное имущество передано по дого</w:t>
      </w:r>
      <w:r>
        <w:rPr>
          <w:rFonts w:eastAsia="Calibri"/>
          <w:lang w:eastAsia="en-US"/>
        </w:rPr>
        <w:t xml:space="preserve">вору             № 13 от 14.12.2021 в безвозмездное пользование объектом движимого имущества КШП № 1 отражено по забалансовому счету 26 в графе 7 на общую сумму              33 600,0 руб. Документы обнаружены в 2023 году и приняты к учету в июне 2023 года.</w:t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коду 03.1 отражена по счету 30211000 сумма 5060,6 руб., данная сумма сложи</w:t>
      </w:r>
      <w:r>
        <w:rPr>
          <w:rFonts w:eastAsia="Calibri"/>
          <w:lang w:eastAsia="en-US"/>
        </w:rPr>
        <w:t xml:space="preserve">лась в связи с отменой 03.02.2023 распоряжения администрации по установлению 13.07.2022 надбавки лицу, допущенному к государственной тайне. По счетам 30302000, 3030600,30307000,30310000 отражены корректировки страховых взносов на общую сумму 1 524,23 руб. </w:t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коду 03.3 отражен – перенос между счетами 10134000 и 10136000, 10434000 и 10436000 в связи с ошибками при применении счетов 1 519 895,11 руб. </w:t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коду 03.2 по счету 1053600 и 40130000 отражен перенос с забалансового счета 03 бланков строгой отчетности (трудовая книжка и вкладыш находятся в сейфе ответственного лица) по справедливой стоимости - 780 руб.</w:t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</w:pPr>
      <w:r>
        <w:t xml:space="preserve">Форма 0503175 «Сведения о принятых и неисполненных обязательствах получателя бюджетных средств». </w:t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  <w:rPr>
          <w:color w:val="000000"/>
        </w:rPr>
      </w:pPr>
      <w:r>
        <w:rPr>
          <w:color w:val="000000"/>
        </w:rPr>
        <w:t xml:space="preserve">Обязательств, принятых сверх утвержденных бюджетных назначений, нет.</w:t>
      </w:r>
      <w:r>
        <w:rPr>
          <w:color w:val="000000"/>
        </w:rPr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  <w:rPr>
          <w:color w:val="000000"/>
        </w:rPr>
      </w:pPr>
      <w:r>
        <w:rPr>
          <w:color w:val="000000"/>
        </w:rPr>
        <w:t xml:space="preserve">Не исполнено бюджетных обязательств на сумму </w:t>
      </w:r>
      <w:r>
        <w:rPr>
          <w:color w:val="000000"/>
        </w:rPr>
        <w:t xml:space="preserve">150 368,64</w:t>
      </w:r>
      <w:r>
        <w:rPr>
          <w:color w:val="000000"/>
        </w:rPr>
        <w:t xml:space="preserve"> </w:t>
      </w:r>
      <w:r>
        <w:rPr>
          <w:color w:val="000000"/>
        </w:rPr>
        <w:t xml:space="preserve">руб., данная сумма сложилась:</w:t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  <w:rPr>
          <w:color w:val="000000"/>
        </w:rPr>
      </w:pPr>
      <w:r>
        <w:rPr>
          <w:color w:val="000000"/>
        </w:rPr>
        <w:t xml:space="preserve">по </w:t>
      </w:r>
      <w:r>
        <w:rPr>
          <w:color w:val="000000"/>
        </w:rPr>
        <w:t xml:space="preserve">01130320500190121</w:t>
      </w:r>
      <w:r>
        <w:rPr>
          <w:color w:val="000000"/>
        </w:rPr>
        <w:t xml:space="preserve"> КОСГУ 211</w:t>
      </w:r>
      <w:r>
        <w:rPr>
          <w:color w:val="000000"/>
        </w:rPr>
        <w:t xml:space="preserve">, КОСГУ 266 </w:t>
      </w:r>
      <w:r>
        <w:rPr>
          <w:color w:val="000000"/>
        </w:rPr>
        <w:t xml:space="preserve">приняты в полном объеме по лимитам бюджетных обязательств не исполнены на сумму</w:t>
      </w:r>
      <w:r>
        <w:rPr>
          <w:color w:val="000000"/>
        </w:rPr>
        <w:t xml:space="preserve"> </w:t>
      </w:r>
      <w:r>
        <w:rPr>
          <w:color w:val="000000"/>
        </w:rPr>
        <w:t xml:space="preserve">73 817,95</w:t>
      </w:r>
      <w:r>
        <w:rPr>
          <w:color w:val="000000"/>
        </w:rPr>
        <w:t xml:space="preserve"> руб.</w:t>
      </w:r>
      <w:r>
        <w:rPr>
          <w:color w:val="000000"/>
        </w:rPr>
        <w:t xml:space="preserve">;</w:t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  <w:rPr>
          <w:color w:val="000000"/>
        </w:rPr>
      </w:pPr>
      <w:r>
        <w:rPr>
          <w:color w:val="000000"/>
        </w:rPr>
        <w:t xml:space="preserve">по </w:t>
      </w:r>
      <w:r>
        <w:rPr>
          <w:color w:val="000000"/>
        </w:rPr>
        <w:t xml:space="preserve">10060310100590111 </w:t>
      </w:r>
      <w:r>
        <w:rPr>
          <w:color w:val="000000"/>
        </w:rPr>
        <w:t xml:space="preserve">КОСГУ 211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КОСГУ 2</w:t>
      </w:r>
      <w:r>
        <w:rPr>
          <w:color w:val="000000"/>
        </w:rPr>
        <w:t xml:space="preserve">66</w:t>
      </w:r>
      <w:r>
        <w:rPr>
          <w:color w:val="000000"/>
        </w:rPr>
        <w:t xml:space="preserve"> </w:t>
      </w:r>
      <w:r>
        <w:rPr>
          <w:color w:val="000000"/>
        </w:rPr>
        <w:t xml:space="preserve">приняты в полном объеме по лимитам бюджетных обязательств не исполнены на </w:t>
      </w:r>
      <w:r>
        <w:rPr>
          <w:color w:val="000000"/>
        </w:rPr>
        <w:t xml:space="preserve">сумму</w:t>
      </w:r>
      <w:r>
        <w:rPr>
          <w:color w:val="000000"/>
        </w:rPr>
        <w:t xml:space="preserve"> </w:t>
      </w:r>
      <w:r>
        <w:rPr>
          <w:color w:val="000000"/>
        </w:rPr>
        <w:t xml:space="preserve">517,57</w:t>
      </w:r>
      <w:r>
        <w:rPr>
          <w:color w:val="000000"/>
        </w:rPr>
        <w:t xml:space="preserve"> </w:t>
      </w:r>
      <w:r>
        <w:rPr>
          <w:color w:val="000000"/>
        </w:rPr>
        <w:t xml:space="preserve">руб.;</w:t>
      </w:r>
      <w:r>
        <w:rPr>
          <w:color w:val="000000"/>
        </w:rPr>
        <w:t xml:space="preserve"> </w:t>
      </w:r>
      <w:r>
        <w:rPr>
          <w:color w:val="000000"/>
        </w:rPr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  <w:rPr>
          <w:color w:val="000000"/>
        </w:rPr>
      </w:pPr>
      <w:r>
        <w:rPr>
          <w:color w:val="000000"/>
        </w:rPr>
        <w:t xml:space="preserve">по 01130320500190244</w:t>
      </w:r>
      <w:r>
        <w:rPr>
          <w:color w:val="000000"/>
        </w:rPr>
        <w:t xml:space="preserve"> КОСГУ 221 </w:t>
      </w:r>
      <w:r>
        <w:rPr>
          <w:color w:val="000000"/>
        </w:rPr>
        <w:t xml:space="preserve">не исполнены в связи с</w:t>
      </w:r>
      <w:r>
        <w:rPr>
          <w:color w:val="000000"/>
        </w:rPr>
        <w:t xml:space="preserve"> </w:t>
      </w:r>
      <w:r>
        <w:rPr>
          <w:color w:val="000000"/>
        </w:rPr>
        <w:t xml:space="preserve">невозможно</w:t>
      </w:r>
      <w:r>
        <w:rPr>
          <w:color w:val="000000"/>
        </w:rPr>
        <w:t xml:space="preserve">стью</w:t>
      </w:r>
      <w:r>
        <w:rPr>
          <w:color w:val="000000"/>
        </w:rPr>
        <w:t xml:space="preserve"> определ</w:t>
      </w:r>
      <w:r>
        <w:rPr>
          <w:color w:val="000000"/>
        </w:rPr>
        <w:t xml:space="preserve">ения</w:t>
      </w:r>
      <w:r>
        <w:rPr>
          <w:color w:val="000000"/>
        </w:rPr>
        <w:t xml:space="preserve"> объем</w:t>
      </w:r>
      <w:r>
        <w:rPr>
          <w:color w:val="000000"/>
        </w:rPr>
        <w:t xml:space="preserve">а</w:t>
      </w:r>
      <w:r>
        <w:rPr>
          <w:color w:val="000000"/>
        </w:rPr>
        <w:t xml:space="preserve"> подлежащих выполнению услуг при заключении </w:t>
      </w:r>
      <w:r>
        <w:rPr>
          <w:color w:val="000000"/>
        </w:rPr>
        <w:t xml:space="preserve">муниципального </w:t>
      </w:r>
      <w:r>
        <w:rPr>
          <w:color w:val="000000"/>
        </w:rPr>
        <w:t xml:space="preserve">контракта </w:t>
      </w:r>
      <w:r>
        <w:rPr>
          <w:color w:val="000000"/>
        </w:rPr>
        <w:t xml:space="preserve">на услуги</w:t>
      </w:r>
      <w:r>
        <w:rPr>
          <w:color w:val="000000"/>
        </w:rPr>
        <w:t xml:space="preserve">, услуги оказываются до конца декабря</w:t>
      </w:r>
      <w:r>
        <w:rPr>
          <w:color w:val="000000"/>
        </w:rPr>
        <w:t xml:space="preserve">; </w:t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  <w:rPr>
          <w:color w:val="000000"/>
        </w:rPr>
      </w:pPr>
      <w:r>
        <w:rPr>
          <w:color w:val="000000"/>
        </w:rPr>
        <w:t xml:space="preserve">10060310100590244</w:t>
      </w:r>
      <w:r>
        <w:rPr>
          <w:color w:val="000000"/>
        </w:rPr>
        <w:t xml:space="preserve"> </w:t>
      </w:r>
      <w:r>
        <w:rPr>
          <w:color w:val="000000"/>
        </w:rPr>
        <w:t xml:space="preserve">КОСГУ 221</w:t>
      </w:r>
      <w:r>
        <w:rPr>
          <w:color w:val="000000"/>
        </w:rPr>
        <w:t xml:space="preserve">,</w:t>
      </w:r>
      <w:r>
        <w:rPr>
          <w:color w:val="000000"/>
        </w:rPr>
        <w:t xml:space="preserve">223,225,342</w:t>
      </w:r>
      <w:r>
        <w:rPr>
          <w:color w:val="000000"/>
        </w:rPr>
        <w:t xml:space="preserve">,343</w:t>
      </w:r>
      <w:r>
        <w:rPr>
          <w:color w:val="000000"/>
        </w:rPr>
        <w:t xml:space="preserve"> общей суммой </w:t>
      </w:r>
      <w:r>
        <w:rPr>
          <w:color w:val="000000"/>
        </w:rPr>
        <w:t xml:space="preserve">9 687,64 </w:t>
      </w:r>
      <w:r>
        <w:rPr>
          <w:color w:val="000000"/>
        </w:rPr>
        <w:t xml:space="preserve">руб</w:t>
      </w:r>
      <w:r>
        <w:rPr>
          <w:color w:val="000000"/>
        </w:rPr>
        <w:t xml:space="preserve">.</w:t>
      </w:r>
      <w:r>
        <w:rPr>
          <w:color w:val="000000"/>
        </w:rPr>
        <w:t xml:space="preserve"> </w:t>
      </w:r>
      <w:r>
        <w:rPr>
          <w:color w:val="000000"/>
        </w:rPr>
        <w:t xml:space="preserve">не исполнены в связи с невозможностью определения объема подлежащих выполнению услуг при заключении </w:t>
      </w:r>
      <w:r>
        <w:rPr>
          <w:color w:val="000000"/>
        </w:rPr>
        <w:t xml:space="preserve">контрактов,</w:t>
      </w:r>
      <w:r>
        <w:t xml:space="preserve"> </w:t>
      </w:r>
      <w:r>
        <w:rPr>
          <w:color w:val="000000"/>
        </w:rPr>
        <w:t xml:space="preserve">услуги оказываются до конца декабря</w:t>
      </w:r>
      <w:r>
        <w:rPr>
          <w:color w:val="000000"/>
        </w:rPr>
        <w:t xml:space="preserve">;</w:t>
      </w:r>
      <w:r>
        <w:rPr>
          <w:color w:val="000000"/>
        </w:rPr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  <w:rPr>
          <w:color w:val="000000"/>
        </w:rPr>
      </w:pPr>
      <w:r>
        <w:rPr>
          <w:color w:val="000000"/>
        </w:rPr>
        <w:t xml:space="preserve">10060310100590247 </w:t>
      </w:r>
      <w:r>
        <w:rPr>
          <w:color w:val="000000"/>
        </w:rPr>
        <w:t xml:space="preserve">КОСГУ 223 общей суммой </w:t>
      </w:r>
      <w:r>
        <w:rPr>
          <w:color w:val="000000"/>
        </w:rPr>
        <w:t xml:space="preserve">38 248,97</w:t>
      </w:r>
      <w:r>
        <w:rPr>
          <w:color w:val="000000"/>
        </w:rPr>
        <w:t xml:space="preserve"> руб., </w:t>
      </w:r>
      <w:r>
        <w:rPr>
          <w:color w:val="000000"/>
        </w:rPr>
        <w:t xml:space="preserve">не исполнены в связи с невозможностью определения объема подлежащих выполнению услуг при заключении </w:t>
      </w:r>
      <w:r>
        <w:rPr>
          <w:color w:val="000000"/>
        </w:rPr>
        <w:t xml:space="preserve">контрактов, услуги оказываются до конца декабря</w:t>
      </w:r>
      <w:r>
        <w:rPr>
          <w:color w:val="000000"/>
        </w:rPr>
        <w:t xml:space="preserve">.</w:t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  <w:rPr>
          <w:color w:val="000000"/>
        </w:rPr>
      </w:pPr>
      <w:r>
        <w:rPr>
          <w:color w:val="000000"/>
        </w:rPr>
        <w:t xml:space="preserve">Н</w:t>
      </w:r>
      <w:r>
        <w:rPr>
          <w:color w:val="000000"/>
        </w:rPr>
        <w:t xml:space="preserve">еисполненные денежные обязательства </w:t>
      </w:r>
      <w:r>
        <w:rPr>
          <w:color w:val="000000"/>
        </w:rPr>
        <w:t xml:space="preserve">составили </w:t>
      </w:r>
      <w:r>
        <w:rPr>
          <w:color w:val="000000"/>
        </w:rPr>
        <w:t xml:space="preserve">17 317,64</w:t>
      </w:r>
      <w:r>
        <w:rPr>
          <w:color w:val="000000"/>
        </w:rPr>
        <w:t xml:space="preserve"> руб. сложились </w:t>
      </w:r>
      <w:r>
        <w:rPr>
          <w:color w:val="000000"/>
        </w:rPr>
        <w:t xml:space="preserve">из начис</w:t>
      </w:r>
      <w:r>
        <w:rPr>
          <w:color w:val="000000"/>
        </w:rPr>
        <w:t xml:space="preserve">ленной, но не перечисленной суммы профсоюзных взносов за декабрь 2023 (20896,64 рублей), начисленного, но не перечисленного подоходного налога по КОСГУ 266 за декабрь 2023 (982,0 рубля), и переплаты по подоходному налогу по КОСГУ 211 в сумме 4561,0 рублей.</w:t>
      </w:r>
      <w:r>
        <w:rPr>
          <w:color w:val="000000"/>
        </w:rPr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</w:pPr>
      <w:r>
        <w:rPr>
          <w:color w:val="000000"/>
        </w:rPr>
        <w:t xml:space="preserve">Обязательства, принимаемые</w:t>
      </w:r>
      <w:r>
        <w:rPr>
          <w:color w:val="000000"/>
        </w:rPr>
        <w:t xml:space="preserve"> в 2023 году при определении поставщиков (подрядчиков, исполнителей) с использованием конкурентных способов определения поставщиков на основании извещений в единой информационной системе в сфере закупок </w:t>
      </w:r>
      <w:r>
        <w:rPr>
          <w:color w:val="000000"/>
        </w:rPr>
        <w:t xml:space="preserve">по управлению и МКУ «Источник» составили</w:t>
      </w:r>
      <w:r>
        <w:rPr>
          <w:color w:val="000000"/>
        </w:rPr>
        <w:t xml:space="preserve"> </w:t>
      </w:r>
      <w:r>
        <w:rPr>
          <w:color w:val="000000"/>
        </w:rPr>
        <w:t xml:space="preserve">19 450 322</w:t>
      </w:r>
      <w:r>
        <w:t xml:space="preserve">,87 </w:t>
      </w:r>
      <w:r>
        <w:t xml:space="preserve">руб., экономия составила </w:t>
      </w:r>
      <w:r>
        <w:t xml:space="preserve">4 708 628,60 </w:t>
      </w:r>
      <w:r>
        <w:t xml:space="preserve">руб.</w:t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  <w:rPr>
          <w:color w:val="000000"/>
        </w:rPr>
      </w:pPr>
      <w:r>
        <w:rPr>
          <w:color w:val="000000"/>
        </w:rPr>
        <w:t xml:space="preserve">Форма </w:t>
      </w:r>
      <w:r>
        <w:rPr>
          <w:color w:val="000000"/>
        </w:rPr>
        <w:t xml:space="preserve">0503178</w:t>
      </w:r>
      <w:r>
        <w:rPr>
          <w:color w:val="000000"/>
        </w:rPr>
        <w:t xml:space="preserve">_3</w:t>
      </w:r>
      <w:r>
        <w:rPr>
          <w:color w:val="000000"/>
        </w:rPr>
        <w:t xml:space="preserve"> </w:t>
      </w:r>
      <w:r>
        <w:rPr>
          <w:color w:val="000000"/>
        </w:rPr>
        <w:t xml:space="preserve">«Сведения об остатках денежных средств на счётах ПБС. Средства во временном распоряжении».</w:t>
      </w:r>
      <w:r>
        <w:rPr>
          <w:color w:val="000000"/>
        </w:rPr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  <w:rPr>
          <w:color w:val="000000"/>
        </w:rPr>
      </w:pPr>
      <w:r>
        <w:rPr>
          <w:color w:val="000000"/>
        </w:rPr>
        <w:t xml:space="preserve">Остаток средств </w:t>
      </w:r>
      <w:r>
        <w:rPr>
          <w:color w:val="000000"/>
        </w:rPr>
        <w:t xml:space="preserve">во временном распоряжении </w:t>
      </w:r>
      <w:r>
        <w:rPr>
          <w:color w:val="000000"/>
        </w:rPr>
        <w:t xml:space="preserve">на </w:t>
      </w:r>
      <w:r>
        <w:rPr>
          <w:color w:val="000000"/>
        </w:rPr>
        <w:t xml:space="preserve">счёт</w:t>
      </w:r>
      <w:r>
        <w:rPr>
          <w:color w:val="000000"/>
        </w:rPr>
        <w:t xml:space="preserve">е </w:t>
      </w:r>
      <w:r>
        <w:rPr>
          <w:color w:val="000000"/>
        </w:rPr>
        <w:t xml:space="preserve">20111000 на</w:t>
      </w:r>
      <w:r>
        <w:rPr>
          <w:color w:val="000000"/>
        </w:rPr>
        <w:t xml:space="preserve"> конец </w:t>
      </w:r>
      <w:r>
        <w:rPr>
          <w:color w:val="000000"/>
        </w:rPr>
        <w:t xml:space="preserve">отчёт</w:t>
      </w:r>
      <w:r>
        <w:rPr>
          <w:color w:val="000000"/>
        </w:rPr>
        <w:t xml:space="preserve">ного периода</w:t>
      </w:r>
      <w:r>
        <w:rPr>
          <w:color w:val="000000"/>
        </w:rPr>
        <w:t xml:space="preserve"> составляет</w:t>
      </w:r>
      <w:r>
        <w:rPr>
          <w:color w:val="000000"/>
        </w:rPr>
        <w:t xml:space="preserve"> –</w:t>
      </w:r>
      <w:r>
        <w:t xml:space="preserve"> </w:t>
      </w:r>
      <w:r>
        <w:rPr>
          <w:color w:val="000000"/>
        </w:rPr>
        <w:t xml:space="preserve">9 305,0</w:t>
      </w:r>
      <w:r>
        <w:rPr>
          <w:color w:val="000000"/>
        </w:rPr>
        <w:t xml:space="preserve"> </w:t>
      </w:r>
      <w:r>
        <w:rPr>
          <w:color w:val="000000"/>
        </w:rPr>
        <w:t xml:space="preserve">руб.</w:t>
      </w:r>
      <w:r>
        <w:rPr>
          <w:color w:val="000000"/>
        </w:rPr>
        <w:t xml:space="preserve"> </w:t>
      </w:r>
      <w:r>
        <w:rPr>
          <w:color w:val="000000"/>
        </w:rPr>
      </w:r>
      <w:r/>
    </w:p>
    <w:p>
      <w:pPr>
        <w:pStyle w:val="719"/>
        <w:ind w:firstLine="709"/>
        <w:jc w:val="both"/>
        <w:spacing w:line="300" w:lineRule="atLeast"/>
        <w:tabs>
          <w:tab w:val="left" w:pos="424" w:leader="none"/>
          <w:tab w:val="left" w:pos="720" w:leader="none"/>
          <w:tab w:val="left" w:pos="900" w:leader="none"/>
          <w:tab w:val="left" w:pos="1761" w:leader="none"/>
          <w:tab w:val="left" w:pos="6840" w:leader="none"/>
        </w:tabs>
        <w:rPr>
          <w:color w:val="000000"/>
        </w:rPr>
      </w:pPr>
      <w:r>
        <w:rPr>
          <w:color w:val="000000"/>
        </w:rPr>
      </w:r>
      <w:r/>
    </w:p>
    <w:p>
      <w:pPr>
        <w:pStyle w:val="719"/>
        <w:ind w:firstLine="709"/>
        <w:jc w:val="center"/>
        <w:spacing w:line="300" w:lineRule="atLeast"/>
        <w:tabs>
          <w:tab w:val="left" w:pos="3030" w:leader="none"/>
        </w:tabs>
        <w:rPr>
          <w:b/>
          <w:color w:val="000000"/>
        </w:rPr>
      </w:pPr>
      <w:r>
        <w:rPr>
          <w:b/>
          <w:color w:val="000000"/>
        </w:rPr>
        <w:t xml:space="preserve">Раздел 5</w:t>
      </w:r>
      <w:r>
        <w:rPr>
          <w:b/>
          <w:color w:val="000000"/>
        </w:rPr>
      </w:r>
      <w:r/>
    </w:p>
    <w:p>
      <w:pPr>
        <w:pStyle w:val="719"/>
        <w:ind w:firstLine="709"/>
        <w:jc w:val="center"/>
        <w:spacing w:line="300" w:lineRule="atLeast"/>
        <w:rPr>
          <w:b/>
        </w:rPr>
      </w:pPr>
      <w:r>
        <w:rPr>
          <w:b/>
          <w:color w:val="000000"/>
        </w:rPr>
        <w:t xml:space="preserve">Прочие вопросы </w:t>
      </w:r>
      <w:r>
        <w:rPr>
          <w:b/>
        </w:rPr>
        <w:t xml:space="preserve">субъекта бюджетной о</w:t>
      </w:r>
      <w:r>
        <w:rPr>
          <w:b/>
        </w:rPr>
        <w:t xml:space="preserve">т</w:t>
      </w:r>
      <w:r>
        <w:rPr>
          <w:b/>
        </w:rPr>
        <w:t xml:space="preserve">чётности</w:t>
      </w:r>
      <w:r>
        <w:rPr>
          <w:b/>
        </w:rPr>
      </w:r>
      <w:r/>
    </w:p>
    <w:p>
      <w:pPr>
        <w:pStyle w:val="719"/>
        <w:ind w:firstLine="709"/>
        <w:jc w:val="center"/>
        <w:spacing w:line="300" w:lineRule="atLeast"/>
        <w:rPr>
          <w:b/>
        </w:rPr>
      </w:pPr>
      <w:r>
        <w:rPr>
          <w:b/>
        </w:rPr>
      </w:r>
      <w:r/>
    </w:p>
    <w:p>
      <w:pPr>
        <w:pStyle w:val="719"/>
        <w:ind w:firstLine="709"/>
        <w:jc w:val="both"/>
        <w:spacing w:line="300" w:lineRule="atLeast"/>
      </w:pPr>
      <w:r/>
      <w:bookmarkStart w:id="12" w:name="OLE_LINK1"/>
      <w:r>
        <w:t xml:space="preserve">Из-за отсутствия числовых значений </w:t>
      </w:r>
      <w:r>
        <w:t xml:space="preserve">не составляется и в составе бю</w:t>
      </w:r>
      <w:r>
        <w:t xml:space="preserve">д</w:t>
      </w:r>
      <w:r>
        <w:t xml:space="preserve">жетной </w:t>
      </w:r>
      <w:r>
        <w:t xml:space="preserve">отчёт</w:t>
      </w:r>
      <w:r>
        <w:t xml:space="preserve">ности за </w:t>
      </w:r>
      <w:r>
        <w:t xml:space="preserve">отчёт</w:t>
      </w:r>
      <w:r>
        <w:t xml:space="preserve">ный период не предоставля</w:t>
      </w:r>
      <w:r>
        <w:t xml:space="preserve">ю</w:t>
      </w:r>
      <w:r>
        <w:t xml:space="preserve">тся</w:t>
      </w:r>
      <w:r>
        <w:t xml:space="preserve"> формы</w:t>
      </w:r>
      <w:r>
        <w:t xml:space="preserve">: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0503121 КОРР, 0503127</w:t>
      </w:r>
      <w:r>
        <w:rPr>
          <w:lang w:val="en-US"/>
        </w:rPr>
        <w:t xml:space="preserve">N</w:t>
      </w:r>
      <w:r>
        <w:t xml:space="preserve">, 0503128</w:t>
      </w:r>
      <w:r>
        <w:rPr>
          <w:lang w:val="en-US"/>
        </w:rPr>
        <w:t xml:space="preserve">N</w:t>
      </w:r>
      <w:r>
        <w:t xml:space="preserve">, 0503128-НП, </w:t>
      </w:r>
      <w:r>
        <w:t xml:space="preserve">0503167</w:t>
      </w:r>
      <w:r>
        <w:t xml:space="preserve">,</w:t>
      </w:r>
      <w:r>
        <w:t xml:space="preserve"> </w:t>
      </w:r>
      <w:r>
        <w:t xml:space="preserve">0503168 КОРР, </w:t>
      </w:r>
      <w:r>
        <w:t xml:space="preserve">0503171, 0503172,</w:t>
      </w:r>
      <w:r>
        <w:t xml:space="preserve"> </w:t>
      </w:r>
      <w:r>
        <w:t xml:space="preserve">0503173</w:t>
      </w:r>
      <w:r>
        <w:t xml:space="preserve">_3</w:t>
      </w:r>
      <w:r>
        <w:t xml:space="preserve">, </w:t>
      </w:r>
      <w:r>
        <w:t xml:space="preserve">0503174,</w:t>
      </w:r>
      <w:r>
        <w:t xml:space="preserve"> 0503178</w:t>
      </w:r>
      <w:r>
        <w:t xml:space="preserve">_1</w:t>
      </w:r>
      <w:r>
        <w:t xml:space="preserve">, </w:t>
      </w:r>
      <w:r>
        <w:t xml:space="preserve">0503184</w:t>
      </w:r>
      <w:r>
        <w:t xml:space="preserve">, </w:t>
      </w:r>
      <w:r>
        <w:t xml:space="preserve">0503190, </w:t>
      </w:r>
      <w:r>
        <w:t xml:space="preserve">0503296, </w:t>
      </w:r>
      <w:r>
        <w:t xml:space="preserve">0503324</w:t>
      </w:r>
      <w:r>
        <w:t xml:space="preserve">Ф</w:t>
      </w:r>
      <w:r>
        <w:t xml:space="preserve">, </w:t>
      </w:r>
      <w:r>
        <w:t xml:space="preserve">0503324</w:t>
      </w:r>
      <w:bookmarkEnd w:id="12"/>
      <w:r>
        <w:t xml:space="preserve">К</w:t>
      </w:r>
      <w:r>
        <w:t xml:space="preserve">, </w:t>
      </w:r>
      <w:r>
        <w:t xml:space="preserve">0503387, 0503075, 0524103 МО</w:t>
      </w:r>
      <w:r>
        <w:t xml:space="preserve">, </w:t>
      </w:r>
      <w:r>
        <w:rPr>
          <w:lang w:val="en-US"/>
        </w:rPr>
        <w:t xml:space="preserve">R</w:t>
      </w:r>
      <w:r>
        <w:t xml:space="preserve">23_068</w:t>
      </w:r>
      <w:r>
        <w:t xml:space="preserve">, </w:t>
      </w:r>
      <w:r>
        <w:t xml:space="preserve">таблица 1, таблица 6</w:t>
      </w:r>
      <w:r>
        <w:t xml:space="preserve">, таблица 15.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Условны</w:t>
      </w:r>
      <w:r>
        <w:t xml:space="preserve">е активы и условные обязательства, формирующие существенную информацию на отчетную дату, отсутствуют.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Судебные решения (исполнительные документы) по исполнению денежных обязательств в </w:t>
      </w:r>
      <w:r>
        <w:t xml:space="preserve">управление и подведомственное </w:t>
      </w:r>
      <w:r>
        <w:t xml:space="preserve">учреждение не поступали</w:t>
      </w:r>
      <w:r>
        <w:t xml:space="preserve">.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Проведена плановая </w:t>
      </w:r>
      <w:r>
        <w:t xml:space="preserve">годовая </w:t>
      </w:r>
      <w:r>
        <w:t xml:space="preserve">инвентаризация </w:t>
      </w:r>
      <w:r>
        <w:t xml:space="preserve">имущества (активов) </w:t>
      </w:r>
      <w:r>
        <w:t xml:space="preserve">в целях составления годовой отчетности </w:t>
      </w:r>
      <w:r>
        <w:t xml:space="preserve">(</w:t>
      </w:r>
      <w:r>
        <w:t xml:space="preserve">по управлению </w:t>
      </w:r>
      <w:r>
        <w:t xml:space="preserve">– решение о проведении инвентаризации № 144 от 01.12.2023,</w:t>
      </w:r>
      <w:r>
        <w:t xml:space="preserve"> </w:t>
      </w:r>
      <w:r>
        <w:t xml:space="preserve">приказ </w:t>
      </w:r>
      <w:r>
        <w:t xml:space="preserve">144</w:t>
      </w:r>
      <w:r>
        <w:t xml:space="preserve"> от </w:t>
      </w:r>
      <w:r>
        <w:t xml:space="preserve">01</w:t>
      </w:r>
      <w:r>
        <w:t xml:space="preserve">.12.202</w:t>
      </w:r>
      <w:r>
        <w:t xml:space="preserve">3</w:t>
      </w:r>
      <w:r>
        <w:t xml:space="preserve">, </w:t>
      </w:r>
      <w:r>
        <w:t xml:space="preserve">по МКУ «Источник» - приказ № </w:t>
      </w:r>
      <w:r>
        <w:t xml:space="preserve">140</w:t>
      </w:r>
      <w:r>
        <w:t xml:space="preserve"> от </w:t>
      </w:r>
      <w:r>
        <w:t xml:space="preserve">06.10.2023</w:t>
      </w:r>
      <w:r>
        <w:t xml:space="preserve">) по состоянию на 31.12.202</w:t>
      </w:r>
      <w:r>
        <w:t xml:space="preserve">3</w:t>
      </w:r>
      <w:r>
        <w:t xml:space="preserve">. 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По результатам проведенной в целях составления годовой отчетности управления за 2023 год инвентаризации имущества и обязательств излишков и недостач не выявлено.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Признаков обесценения объектов нефинансовых активов не выявлено.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 К событиям после отчётной даты, относятся результаты инвентаризации финансовых обязательств (по управлению – решение № 146 от 01.12.2023, приказ                 № 146 от 01.12.2023</w:t>
      </w:r>
      <w:r>
        <w:t xml:space="preserve">, по МКУ «Источник» - решение № 00ГУ-000003 – 28.12.2023, приказ 158-п -28.12.2023</w:t>
      </w:r>
      <w:r>
        <w:t xml:space="preserve">)</w:t>
      </w:r>
      <w:r>
        <w:rPr>
          <w:color w:val="FF0000"/>
        </w:rPr>
        <w:t xml:space="preserve"> </w:t>
      </w:r>
      <w:r>
        <w:t xml:space="preserve">проведё</w:t>
      </w:r>
      <w:r>
        <w:t xml:space="preserve">нной в целях составления годовой отчётности за 2023 год, оформленных Актами о результатах инвентаризации, подписанными в 2024 году. Задолженность по обязательствам подтверждена актами сверок. По результатам инвентаризации излишек и недостач не установлено.</w:t>
      </w:r>
      <w:r/>
    </w:p>
    <w:p>
      <w:pPr>
        <w:pStyle w:val="719"/>
        <w:ind w:firstLine="709"/>
        <w:jc w:val="both"/>
        <w:spacing w:line="300" w:lineRule="atLeast"/>
      </w:pPr>
      <w:r>
        <w:t xml:space="preserve">В связи отсутствием расхождений по результатам инвентаризации, проведенной в целях подтверждения показателей годовой бюджетной отч</w:t>
      </w:r>
      <w:r>
        <w:t xml:space="preserve">ё</w:t>
      </w:r>
      <w:r>
        <w:t xml:space="preserve">тности, таблица </w:t>
      </w:r>
      <w:r>
        <w:t xml:space="preserve">            </w:t>
      </w:r>
      <w:r>
        <w:t xml:space="preserve">№ 6 «Сведения о проведении инвентаризаций», не заполняется. </w:t>
      </w:r>
      <w:r/>
    </w:p>
    <w:p>
      <w:pPr>
        <w:pStyle w:val="719"/>
        <w:ind w:firstLine="709"/>
        <w:jc w:val="both"/>
        <w:spacing w:line="300" w:lineRule="atLeast"/>
        <w:rPr>
          <w:color w:val="000000"/>
        </w:rPr>
      </w:pPr>
      <w:r>
        <w:tab/>
        <w:tab/>
        <w:tab/>
        <w:tab/>
        <w:tab/>
        <w:tab/>
        <w:tab/>
        <w:tab/>
        <w:tab/>
        <w:tab/>
        <w:tab/>
      </w:r>
      <w:r>
        <w:rPr>
          <w:color w:val="000000"/>
        </w:rPr>
      </w:r>
      <w:r/>
    </w:p>
    <w:p>
      <w:pPr>
        <w:pStyle w:val="719"/>
        <w:jc w:val="both"/>
        <w:spacing w:line="300" w:lineRule="atLeast"/>
        <w:rPr>
          <w:color w:val="000000"/>
        </w:rPr>
      </w:pPr>
      <w:r>
        <w:rPr>
          <w:color w:val="000000"/>
        </w:rPr>
        <w:t xml:space="preserve">Начальник управления</w:t>
      </w:r>
      <w:r>
        <w:rPr>
          <w:color w:val="000000"/>
        </w:rPr>
        <w:t xml:space="preserve">       </w:t>
      </w:r>
      <w:r>
        <w:rPr>
          <w:color w:val="000000"/>
        </w:rPr>
        <w:t xml:space="preserve">                  </w:t>
      </w:r>
      <w:r>
        <w:rPr>
          <w:color w:val="000000"/>
        </w:rPr>
        <w:t xml:space="preserve">         </w:t>
      </w:r>
      <w:r>
        <w:rPr>
          <w:color w:val="000000"/>
        </w:rPr>
        <w:t xml:space="preserve">                   </w:t>
      </w:r>
      <w:r>
        <w:rPr>
          <w:color w:val="000000"/>
        </w:rPr>
        <w:t xml:space="preserve">            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И.А.Косинкова</w:t>
      </w:r>
      <w:r>
        <w:rPr>
          <w:color w:val="000000"/>
        </w:rPr>
      </w:r>
      <w:r/>
    </w:p>
    <w:p>
      <w:pPr>
        <w:pStyle w:val="719"/>
        <w:ind w:firstLine="709"/>
        <w:jc w:val="both"/>
        <w:spacing w:line="300" w:lineRule="atLeast"/>
        <w:rPr>
          <w:color w:val="000000"/>
        </w:rPr>
      </w:pPr>
      <w:r>
        <w:rPr>
          <w:color w:val="000000"/>
        </w:rPr>
      </w:r>
      <w:r/>
    </w:p>
    <w:p>
      <w:pPr>
        <w:pStyle w:val="719"/>
        <w:jc w:val="both"/>
        <w:spacing w:line="300" w:lineRule="atLeast"/>
        <w:rPr>
          <w:color w:val="000000"/>
        </w:rPr>
      </w:pPr>
      <w:r>
        <w:rPr>
          <w:color w:val="000000"/>
        </w:rPr>
        <w:t xml:space="preserve">Н</w:t>
      </w:r>
      <w:r>
        <w:rPr>
          <w:color w:val="000000"/>
        </w:rPr>
        <w:t xml:space="preserve">ачальник </w:t>
      </w:r>
      <w:r>
        <w:rPr>
          <w:color w:val="000000"/>
        </w:rPr>
        <w:t xml:space="preserve">финансово-</w:t>
      </w:r>
      <w:r/>
    </w:p>
    <w:p>
      <w:pPr>
        <w:pStyle w:val="719"/>
        <w:jc w:val="both"/>
        <w:spacing w:line="300" w:lineRule="atLeast"/>
        <w:rPr>
          <w:color w:val="000000"/>
        </w:rPr>
      </w:pPr>
      <w:r>
        <w:rPr>
          <w:color w:val="000000"/>
        </w:rPr>
        <w:t xml:space="preserve">экономического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отдела</w:t>
      </w:r>
      <w:r>
        <w:rPr>
          <w:color w:val="000000"/>
        </w:rPr>
        <w:t xml:space="preserve">         </w:t>
      </w:r>
      <w:r>
        <w:rPr>
          <w:color w:val="000000"/>
        </w:rPr>
        <w:t xml:space="preserve">  </w:t>
      </w:r>
      <w:r>
        <w:rPr>
          <w:color w:val="000000"/>
        </w:rPr>
        <w:t xml:space="preserve">                                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          </w:t>
      </w:r>
      <w:r>
        <w:rPr>
          <w:color w:val="000000"/>
        </w:rPr>
        <w:t xml:space="preserve"> </w:t>
      </w:r>
      <w:r>
        <w:rPr>
          <w:color w:val="000000"/>
        </w:rPr>
        <w:t xml:space="preserve">   </w:t>
      </w:r>
      <w:r>
        <w:rPr>
          <w:color w:val="000000"/>
        </w:rPr>
        <w:t xml:space="preserve">        </w:t>
      </w:r>
      <w:r>
        <w:rPr>
          <w:color w:val="000000"/>
        </w:rPr>
        <w:t xml:space="preserve">О.П.Сальникова</w:t>
      </w:r>
      <w:r>
        <w:rPr>
          <w:color w:val="000000"/>
        </w:rPr>
      </w:r>
      <w:r/>
    </w:p>
    <w:p>
      <w:pPr>
        <w:pStyle w:val="719"/>
        <w:rPr>
          <w:vanish/>
          <w:sz w:val="20"/>
          <w:szCs w:val="20"/>
        </w:rPr>
      </w:pPr>
      <w:r>
        <w:rPr>
          <w:color w:val="000000"/>
        </w:rPr>
        <w:br w:type="page" w:clear="all"/>
      </w:r>
      <w:r>
        <w:rPr>
          <w:vanish/>
          <w:sz w:val="20"/>
          <w:szCs w:val="20"/>
        </w:rPr>
      </w:r>
      <w:r/>
    </w:p>
    <w:p>
      <w:pPr>
        <w:pStyle w:val="719"/>
        <w:rPr>
          <w:vanish/>
          <w:sz w:val="24"/>
          <w:szCs w:val="24"/>
        </w:rPr>
      </w:pPr>
      <w:r>
        <w:rPr>
          <w:vanish/>
          <w:sz w:val="24"/>
          <w:szCs w:val="24"/>
        </w:rPr>
      </w:r>
      <w:r/>
    </w:p>
    <w:tbl>
      <w:tblPr>
        <w:tblW w:w="102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7" w:type="dxa"/>
            <w:vAlign w:val="top"/>
            <w:textDirection w:val="lrTb"/>
            <w:noWrap w:val="false"/>
          </w:tcPr>
          <w:p>
            <w:pPr>
              <w:pStyle w:val="71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Таблица №13</w:t>
            </w:r>
            <w:r/>
          </w:p>
        </w:tc>
      </w:tr>
      <w:tr>
        <w:trPr>
          <w:cantSplit/>
          <w:trHeight w:val="903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6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Анализ отчета об исполнении бюджета субъектом бюджетной отчетности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7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2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строки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3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</w:t>
            </w:r>
            <w:r/>
          </w:p>
        </w:tc>
      </w:tr>
      <w:tr>
        <w:trPr>
          <w:cantSplit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2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3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</w:tr>
      <w:tr>
        <w:trPr>
          <w:cantSplit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2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Отчет об исполнении бюджета (ф.0503127): причины отклонения суммы неисполненных назначений, отраженных в графе 9 по соответствующим строкам раздела 1 "Доходы", от разницы показателей граф 4 и 8 по строке 010 "Доходы бюджета - всего"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010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3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2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об исполнении бюджета (ф.0503164): код "99 - иные причины" по графе 8 раздела 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020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3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Отражены не исполненные утвержденные бюджетные назначения выделенные на обеспечение автономными дымовыми пожарными извещателями малоимущих мног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одетных семей, семей, находящихся в трудной жизненной ситуации, в социально опасном положении по целевой статье 0320900000 в сумме 12 493 300,0 руб., в связи с поздним доведением бюджетных средств (21.12.23) и невозможностью проведения конкурсных процедур.</w:t>
            </w:r>
            <w:r/>
          </w:p>
        </w:tc>
      </w:tr>
      <w:tr>
        <w:trPr>
          <w:cantSplit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2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об исполнении бюджета (ф.0503164): по графе 8 раздела 2 несколько причин отклонения одновременно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030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3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2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исполнения текстовых статей закона (решения) о бюджете, касающихся приоритетных национальных проектов и имеющих отношение к деятельности субъекта бюджетной отчетности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040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3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2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Информация о принятии денежных обязательств сверх утвержденного субъекту отчетности на финансовый год объема бюджетных ассигнований и (или) лимитов бюджетных обязательств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050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3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2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Информация по обобщенным данным об операциях по управлению остатками средств на едином счете соответствующего бюджета за отчетный период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060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3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2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070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3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trHeight w:val="1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6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spacing w:line="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719"/>
        <w:rPr>
          <w:sz w:val="24"/>
          <w:szCs w:val="24"/>
        </w:rPr>
        <w:sectPr>
          <w:headerReference w:type="default" r:id="rId9"/>
          <w:footerReference w:type="default" r:id="rId12"/>
          <w:footnotePr/>
          <w:endnotePr/>
          <w:type w:val="nextPage"/>
          <w:pgSz w:w="11905" w:h="16837" w:orient="portrait"/>
          <w:pgMar w:top="1133" w:right="566" w:bottom="1133" w:left="1133" w:header="1133" w:footer="1133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719"/>
        <w:rPr>
          <w:vanish/>
          <w:sz w:val="24"/>
          <w:szCs w:val="24"/>
        </w:rPr>
      </w:pPr>
      <w:r/>
      <w:bookmarkStart w:id="13" w:name="__bookmark_12"/>
      <w:r/>
      <w:bookmarkEnd w:id="13"/>
      <w:r>
        <w:rPr>
          <w:vanish/>
          <w:sz w:val="24"/>
          <w:szCs w:val="24"/>
        </w:rPr>
      </w:r>
      <w:r/>
    </w:p>
    <w:tbl>
      <w:tblPr>
        <w:tblW w:w="102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559"/>
        <w:gridCol w:w="559"/>
        <w:gridCol w:w="559"/>
        <w:gridCol w:w="559"/>
        <w:gridCol w:w="210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0" w:type="dxa"/>
            <w:vAlign w:val="top"/>
            <w:textDirection w:val="lrTb"/>
            <w:noWrap w:val="false"/>
          </w:tcPr>
          <w:p>
            <w:pPr>
              <w:pStyle w:val="71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Таблица №14</w:t>
            </w:r>
            <w:r/>
          </w:p>
        </w:tc>
      </w:tr>
      <w:tr>
        <w:trPr>
          <w:cantSplit/>
          <w:trHeight w:val="322"/>
        </w:trPr>
        <w:tc>
          <w:tcPr>
            <w:gridSpan w:val="1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6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Анализ показателей отчетности субъекта бюджетной отчетности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line="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6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формы по ОКУД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строки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Пояснения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0503168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Показатели со знаком "минус" в графе 7 разделов 1 и 2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0503169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Показатели со знаком "минус" в графах 5 - 8 раздела 1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0503169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Графа 7 - "05 - иные причины возникновения просроченной кредиторской задолженности" раздела 2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0503169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2 графа 7 - "89 - иные причины возникновения просроченной дебиторской задолженности"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0503169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Несколько причин возникновения просроченной дебиторской (кредиторской) задолженности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0503173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060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1 графа 9 - "06 - иные причины"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0503173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4 графа 7 - "03.5 - иные причины"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0503175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1 графа 7 - "99 - иные причины"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 исполнены в связи с невозможностью определения объема подлежащих выполнению услуг при заключении муниципального контракта, услуги оказываются до конца декабря.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0503175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2 графа 7 - "75 - иные причины"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0503190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Графа 7 - "09 - иной статус"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0503190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Графа 8 - "09 - иной статус"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0503190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Графа 7 - "28 - иное основание выбытия"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0503190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Графа 8 - "28 - иное основание выбытия"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0503127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Информация (пояснения) о некассовых операциях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4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  <w:trHeight w:val="1"/>
        </w:trPr>
        <w:tc>
          <w:tcPr>
            <w:gridSpan w:val="1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6" w:type="dxa"/>
            <w:vAlign w:val="top"/>
            <w:vMerge w:val="restart"/>
            <w:textDirection w:val="lrTb"/>
            <w:noWrap w:val="false"/>
          </w:tcPr>
          <w:p>
            <w:pPr>
              <w:pStyle w:val="719"/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19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719"/>
        <w:jc w:val="both"/>
        <w:spacing w:line="300" w:lineRule="atLeast"/>
        <w:rPr>
          <w:color w:val="000000"/>
        </w:rPr>
      </w:pPr>
      <w:r>
        <w:rPr>
          <w:color w:val="000000"/>
        </w:rPr>
      </w:r>
      <w:r/>
    </w:p>
    <w:sectPr>
      <w:headerReference w:type="default" r:id="rId10"/>
      <w:headerReference w:type="even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0421" w:type="dxa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1E0" w:firstRow="1" w:lastRow="1" w:firstColumn="1" w:lastColumn="1" w:noHBand="0" w:noVBand="0"/>
    </w:tblPr>
    <w:tblGrid>
      <w:gridCol w:w="10421"/>
    </w:tblGrid>
    <w:tr>
      <w:trPr>
        <w:trHeight w:val="56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10421" w:type="dxa"/>
          <w:vAlign w:val="top"/>
          <w:textDirection w:val="lrTb"/>
          <w:noWrap w:val="false"/>
        </w:tcPr>
        <w:p>
          <w:pPr>
            <w:pStyle w:val="719"/>
            <w:spacing w:line="1" w:lineRule="auto"/>
          </w:pPr>
          <w:r/>
          <w:r/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0421" w:type="dxa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1E0" w:firstRow="1" w:lastRow="1" w:firstColumn="1" w:lastColumn="1" w:noHBand="0" w:noVBand="0"/>
    </w:tblPr>
    <w:tblGrid>
      <w:gridCol w:w="10421"/>
    </w:tblGrid>
    <w:tr>
      <w:trPr>
        <w:trHeight w:val="56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10421" w:type="dxa"/>
          <w:vAlign w:val="top"/>
          <w:textDirection w:val="lrTb"/>
          <w:noWrap w:val="false"/>
        </w:tcPr>
        <w:p>
          <w:pPr>
            <w:pStyle w:val="719"/>
            <w:spacing w:line="1" w:lineRule="auto"/>
          </w:pPr>
          <w:r/>
          <w:r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rPr>
        <w:rStyle w:val="728"/>
        <w:sz w:val="24"/>
        <w:szCs w:val="24"/>
      </w:rPr>
      <w:framePr w:wrap="around" w:vAnchor="text" w:hAnchor="margin" w:xAlign="center" w:y="1"/>
    </w:pPr>
    <w:r>
      <w:rPr>
        <w:rStyle w:val="728"/>
        <w:sz w:val="24"/>
        <w:szCs w:val="24"/>
      </w:rPr>
      <w:fldChar w:fldCharType="begin"/>
    </w:r>
    <w:r>
      <w:rPr>
        <w:rStyle w:val="728"/>
        <w:sz w:val="24"/>
        <w:szCs w:val="24"/>
      </w:rPr>
      <w:instrText xml:space="preserve">PAGE  </w:instrText>
    </w:r>
    <w:r>
      <w:rPr>
        <w:rStyle w:val="728"/>
        <w:sz w:val="24"/>
        <w:szCs w:val="24"/>
      </w:rPr>
      <w:fldChar w:fldCharType="separate"/>
    </w:r>
    <w:r>
      <w:rPr>
        <w:rStyle w:val="728"/>
        <w:sz w:val="24"/>
        <w:szCs w:val="24"/>
      </w:rPr>
      <w:t xml:space="preserve">26</w:t>
    </w:r>
    <w:r>
      <w:rPr>
        <w:rStyle w:val="728"/>
        <w:sz w:val="24"/>
        <w:szCs w:val="24"/>
      </w:rPr>
      <w:fldChar w:fldCharType="end"/>
    </w:r>
    <w:r>
      <w:rPr>
        <w:rStyle w:val="728"/>
        <w:sz w:val="24"/>
        <w:szCs w:val="24"/>
      </w:rPr>
    </w:r>
    <w:r/>
  </w:p>
  <w:p>
    <w:pPr>
      <w:pStyle w:val="71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rPr>
        <w:rStyle w:val="728"/>
      </w:rPr>
      <w:framePr w:wrap="around" w:vAnchor="text" w:hAnchor="margin" w:xAlign="center" w:y="1"/>
    </w:pPr>
    <w:r>
      <w:rPr>
        <w:rStyle w:val="728"/>
      </w:rPr>
      <w:fldChar w:fldCharType="begin"/>
    </w:r>
    <w:r>
      <w:rPr>
        <w:rStyle w:val="728"/>
      </w:rPr>
      <w:instrText xml:space="preserve">PAGE  </w:instrText>
    </w:r>
    <w:r>
      <w:rPr>
        <w:rStyle w:val="728"/>
      </w:rPr>
      <w:fldChar w:fldCharType="end"/>
    </w:r>
    <w:r>
      <w:rPr>
        <w:rStyle w:val="728"/>
      </w:rPr>
    </w:r>
    <w:r/>
  </w:p>
  <w:p>
    <w:pPr>
      <w:pStyle w:val="727"/>
    </w:pPr>
    <w:r/>
    <w:r/>
  </w:p>
  <w:p>
    <w:pPr>
      <w:pStyle w:val="7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02"/>
      <w:numFmt w:val="bullet"/>
      <w:isLgl w:val="false"/>
      <w:suff w:val="tab"/>
      <w:lvlText w:val=""/>
      <w:lvlJc w:val="left"/>
      <w:pPr>
        <w:pStyle w:val="719"/>
        <w:ind w:left="720" w:hanging="360"/>
      </w:pPr>
      <w:rPr>
        <w:rFonts w:ascii="Symbol" w:hAnsi="Symbol" w:eastAsia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719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9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9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9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902"/>
      <w:numFmt w:val="decimal"/>
      <w:isLgl w:val="false"/>
      <w:suff w:val="tab"/>
      <w:lvlText w:val="%1"/>
      <w:lvlJc w:val="left"/>
      <w:pPr>
        <w:pStyle w:val="719"/>
        <w:ind w:left="1158" w:hanging="45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9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9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9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9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9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9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9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9"/>
        <w:ind w:left="6828" w:hanging="180"/>
      </w:pPr>
    </w:lvl>
  </w:abstractNum>
  <w:abstractNum w:abstractNumId="2">
    <w:multiLevelType w:val="hybridMultilevel"/>
    <w:lvl w:ilvl="0">
      <w:start w:val="902"/>
      <w:numFmt w:val="decimal"/>
      <w:isLgl w:val="false"/>
      <w:suff w:val="tab"/>
      <w:lvlText w:val="%1"/>
      <w:lvlJc w:val="left"/>
      <w:pPr>
        <w:pStyle w:val="719"/>
        <w:ind w:left="1158" w:hanging="45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9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9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9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9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9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9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9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9"/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9"/>
        <w:ind w:left="1211" w:hanging="360"/>
      </w:pPr>
      <w:rPr>
        <w:rFonts w:ascii="Times New Roman" w:hAnsi="Times New Roman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9"/>
        <w:ind w:left="6829" w:hanging="180"/>
      </w:pPr>
    </w:lvl>
  </w:abstractNum>
  <w:abstractNum w:abstractNumId="4">
    <w:multiLevelType w:val="hybridMultilevel"/>
    <w:lvl w:ilvl="0">
      <w:start w:val="902"/>
      <w:numFmt w:val="bullet"/>
      <w:isLgl w:val="false"/>
      <w:suff w:val="tab"/>
      <w:lvlText w:val=""/>
      <w:lvlJc w:val="left"/>
      <w:pPr>
        <w:pStyle w:val="719"/>
        <w:ind w:left="720" w:hanging="360"/>
      </w:pPr>
      <w:rPr>
        <w:rFonts w:ascii="Symbol" w:hAnsi="Symbol" w:eastAsia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719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9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9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9"/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19"/>
    <w:next w:val="719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19"/>
    <w:next w:val="719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19"/>
    <w:next w:val="719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19"/>
    <w:next w:val="719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19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19"/>
    <w:next w:val="719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719"/>
    <w:next w:val="719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719"/>
    <w:next w:val="719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19"/>
    <w:next w:val="719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719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7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19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719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next w:val="719"/>
    <w:link w:val="719"/>
    <w:rPr>
      <w:sz w:val="28"/>
      <w:szCs w:val="28"/>
      <w:lang w:val="ru-RU" w:bidi="ar-SA" w:eastAsia="ru-RU"/>
    </w:rPr>
  </w:style>
  <w:style w:type="paragraph" w:styleId="720">
    <w:name w:val="Заголовок 1"/>
    <w:basedOn w:val="719"/>
    <w:next w:val="720"/>
    <w:link w:val="719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721">
    <w:name w:val="Основной шрифт абзаца"/>
    <w:next w:val="721"/>
    <w:link w:val="724"/>
    <w:semiHidden/>
  </w:style>
  <w:style w:type="table" w:styleId="722">
    <w:name w:val="Обычная таблица"/>
    <w:next w:val="722"/>
    <w:link w:val="719"/>
    <w:semiHidden/>
    <w:tblPr/>
  </w:style>
  <w:style w:type="numbering" w:styleId="723">
    <w:name w:val="Нет списка"/>
    <w:next w:val="723"/>
    <w:link w:val="719"/>
    <w:semiHidden/>
  </w:style>
  <w:style w:type="paragraph" w:styleId="724">
    <w:name w:val=" Знак"/>
    <w:basedOn w:val="719"/>
    <w:next w:val="724"/>
    <w:link w:val="721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25">
    <w:name w:val="Текст выноски"/>
    <w:basedOn w:val="719"/>
    <w:next w:val="725"/>
    <w:link w:val="719"/>
    <w:semiHidden/>
    <w:rPr>
      <w:rFonts w:ascii="Tahoma" w:hAnsi="Tahoma"/>
      <w:sz w:val="16"/>
      <w:szCs w:val="16"/>
    </w:rPr>
  </w:style>
  <w:style w:type="table" w:styleId="726">
    <w:name w:val="Сетка таблицы"/>
    <w:basedOn w:val="722"/>
    <w:next w:val="726"/>
    <w:link w:val="719"/>
    <w:tblPr/>
  </w:style>
  <w:style w:type="paragraph" w:styleId="727">
    <w:name w:val="Верхний колонтитул"/>
    <w:basedOn w:val="719"/>
    <w:next w:val="727"/>
    <w:link w:val="719"/>
    <w:pPr>
      <w:tabs>
        <w:tab w:val="center" w:pos="4677" w:leader="none"/>
        <w:tab w:val="right" w:pos="9355" w:leader="none"/>
      </w:tabs>
    </w:pPr>
  </w:style>
  <w:style w:type="character" w:styleId="728">
    <w:name w:val="Номер страницы"/>
    <w:basedOn w:val="721"/>
    <w:next w:val="728"/>
    <w:link w:val="719"/>
  </w:style>
  <w:style w:type="paragraph" w:styleId="729">
    <w:name w:val="Обычный (веб)"/>
    <w:basedOn w:val="719"/>
    <w:next w:val="729"/>
    <w:link w:val="719"/>
    <w:pPr>
      <w:spacing w:before="100" w:beforeAutospacing="1" w:after="100" w:afterAutospacing="1"/>
    </w:pPr>
    <w:rPr>
      <w:sz w:val="24"/>
      <w:szCs w:val="24"/>
    </w:rPr>
  </w:style>
  <w:style w:type="character" w:styleId="730">
    <w:name w:val="Знак примечания"/>
    <w:next w:val="730"/>
    <w:link w:val="719"/>
    <w:semiHidden/>
    <w:rPr>
      <w:sz w:val="16"/>
      <w:szCs w:val="16"/>
    </w:rPr>
  </w:style>
  <w:style w:type="paragraph" w:styleId="731">
    <w:name w:val="Текст примечания"/>
    <w:basedOn w:val="719"/>
    <w:next w:val="731"/>
    <w:link w:val="719"/>
    <w:semiHidden/>
    <w:rPr>
      <w:sz w:val="20"/>
      <w:szCs w:val="20"/>
    </w:rPr>
  </w:style>
  <w:style w:type="paragraph" w:styleId="732">
    <w:name w:val="Тема примечания"/>
    <w:basedOn w:val="731"/>
    <w:next w:val="731"/>
    <w:link w:val="719"/>
    <w:semiHidden/>
    <w:rPr>
      <w:b/>
      <w:bCs/>
    </w:rPr>
  </w:style>
  <w:style w:type="character" w:styleId="733">
    <w:name w:val="Гипертекстовая ссылка"/>
    <w:next w:val="733"/>
    <w:link w:val="719"/>
    <w:rPr>
      <w:color w:val="106BBE"/>
    </w:rPr>
  </w:style>
  <w:style w:type="paragraph" w:styleId="734">
    <w:name w:val="Нижний колонтитул"/>
    <w:basedOn w:val="719"/>
    <w:next w:val="734"/>
    <w:link w:val="719"/>
    <w:pPr>
      <w:tabs>
        <w:tab w:val="center" w:pos="4677" w:leader="none"/>
        <w:tab w:val="right" w:pos="9355" w:leader="none"/>
      </w:tabs>
    </w:pPr>
  </w:style>
  <w:style w:type="paragraph" w:styleId="735">
    <w:name w:val="Без интервала"/>
    <w:next w:val="735"/>
    <w:link w:val="719"/>
    <w:rPr>
      <w:rFonts w:ascii="Calibri" w:hAnsi="Calibri" w:eastAsia="Calibri"/>
      <w:sz w:val="22"/>
      <w:szCs w:val="22"/>
      <w:lang w:val="ru-RU" w:bidi="ar-SA" w:eastAsia="en-US"/>
    </w:rPr>
  </w:style>
  <w:style w:type="character" w:styleId="736">
    <w:name w:val="Гиперссылка"/>
    <w:next w:val="736"/>
    <w:link w:val="719"/>
    <w:rPr>
      <w:color w:val="0000FF"/>
      <w:u w:val="single"/>
    </w:rPr>
  </w:style>
  <w:style w:type="character" w:styleId="737">
    <w:name w:val="Выделение"/>
    <w:next w:val="737"/>
    <w:link w:val="719"/>
    <w:rPr>
      <w:i/>
      <w:iCs/>
    </w:rPr>
  </w:style>
  <w:style w:type="character" w:styleId="738">
    <w:name w:val="Строгий"/>
    <w:next w:val="738"/>
    <w:link w:val="719"/>
    <w:rPr>
      <w:b/>
      <w:bCs/>
    </w:rPr>
  </w:style>
  <w:style w:type="paragraph" w:styleId="739">
    <w:name w:val="ConsPlusNormal"/>
    <w:next w:val="739"/>
    <w:link w:val="719"/>
    <w:pPr>
      <w:widowControl w:val="off"/>
    </w:pPr>
    <w:rPr>
      <w:rFonts w:ascii="Arial" w:hAnsi="Arial"/>
      <w:lang w:val="ru-RU" w:bidi="ar-SA" w:eastAsia="ru-RU"/>
    </w:rPr>
  </w:style>
  <w:style w:type="character" w:styleId="6479" w:default="1">
    <w:name w:val="Default Paragraph Font"/>
    <w:uiPriority w:val="1"/>
    <w:semiHidden/>
    <w:unhideWhenUsed/>
  </w:style>
  <w:style w:type="numbering" w:styleId="6480" w:default="1">
    <w:name w:val="No List"/>
    <w:uiPriority w:val="99"/>
    <w:semiHidden/>
    <w:unhideWhenUsed/>
  </w:style>
  <w:style w:type="table" w:styleId="64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2024-04-09T06:44:57Z</dcterms:modified>
</cp:coreProperties>
</file>