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420" w:lineRule="atLeast"/>
        <w:ind/>
        <w:jc w:val="center"/>
        <w:rPr>
          <w:rFonts w:ascii="PT Astra Serif" w:hAnsi="PT Astra Serif"/>
          <w:b w:val="1"/>
          <w:color w:val="000000"/>
          <w:sz w:val="40"/>
          <w:u w:val="none"/>
        </w:rPr>
      </w:pPr>
      <w:r>
        <w:rPr>
          <w:rFonts w:ascii="PT Astra Serif" w:hAnsi="PT Astra Serif"/>
          <w:b w:val="1"/>
          <w:color w:val="000000"/>
          <w:sz w:val="40"/>
          <w:u w:val="none"/>
        </w:rPr>
        <w:t>Порядок отнесения объектов контроля к категориям риска</w:t>
      </w:r>
    </w:p>
    <w:p w14:paraId="02000000">
      <w:pPr>
        <w:widowControl w:val="1"/>
        <w:spacing w:line="228" w:lineRule="auto"/>
        <w:ind w:firstLine="709"/>
        <w:jc w:val="both"/>
        <w:rPr>
          <w:sz w:val="28"/>
        </w:rPr>
      </w:pPr>
    </w:p>
    <w:p w14:paraId="03000000">
      <w:pPr>
        <w:widowControl w:val="1"/>
        <w:spacing w:line="228" w:lineRule="auto"/>
        <w:ind w:firstLine="709"/>
        <w:jc w:val="both"/>
        <w:rPr>
          <w:sz w:val="28"/>
        </w:rPr>
      </w:pPr>
    </w:p>
    <w:p w14:paraId="04000000">
      <w:pPr>
        <w:widowControl w:val="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Положением о муниципальном земельном контроле, утвержденным решением городской Думы Краснодара от 16.07.2009 № 58 п. 28 «Об утверждении положения о муниципальном земельном контроле на территории муниципального образования город Краснодар» система оценки и управления рисками причинения вреда (ущерба) охраняемым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Контрольным органом муниципального земельного контроля, применяются в соответствии с требованиями </w:t>
      </w:r>
      <w:r>
        <w:rPr>
          <w:sz w:val="28"/>
        </w:rPr>
        <w:t>статей 22, 23 Закона № 248-ФЗ.</w:t>
      </w:r>
    </w:p>
    <w:p w14:paraId="0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Контрольный орган при осуществлении муниципального земельного контроля относит </w:t>
      </w:r>
      <w:r>
        <w:rPr>
          <w:rStyle w:val="Style_1_ch"/>
          <w:color w:val="000000"/>
          <w:sz w:val="28"/>
          <w:u w:val="none"/>
        </w:rPr>
        <w:t>объекты</w:t>
      </w:r>
      <w:r>
        <w:rPr>
          <w:sz w:val="28"/>
        </w:rPr>
        <w:t xml:space="preserve"> контроля к одной из следующих категорий риска причинения вреда (ущерба) (далее – категории риска):</w:t>
      </w:r>
    </w:p>
    <w:p w14:paraId="0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средний риск;</w:t>
      </w:r>
    </w:p>
    <w:p w14:paraId="0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умеренный риск;</w:t>
      </w:r>
    </w:p>
    <w:p w14:paraId="0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низкий риск.</w:t>
      </w:r>
    </w:p>
    <w:p w14:paraId="0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Отнесение объектов контроля к определённой категории риска осуществляется на основании сопоставления их характеристик с критериями отнесения объектов контроля к категориям риска:</w:t>
      </w:r>
    </w:p>
    <w:p w14:paraId="0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для среднего риска – установление в течение двух лет, предшествующих моменту отнесения Контрольным органом объекта контроля к одной из категорий риска, факта причинения вреда объектам муниципального контроля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лицом, установленных судебным актом (постановлением, решением, приговором);</w:t>
      </w:r>
    </w:p>
    <w:p w14:paraId="0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для умеренного риска – совершение в течение двух лет, предшествующих моменту отнесения Контрольным органом объекта контроля к одной из категорий риска, административного правонарушения без причинения вреда объектам муниципального контроля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</w:p>
    <w:p w14:paraId="0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для низкого риска – отсутствие обстоятельств, предусмотренных для среднего и умеренного риск</w:t>
      </w:r>
      <w:r>
        <w:rPr>
          <w:sz w:val="28"/>
        </w:rPr>
        <w:t>ов</w:t>
      </w:r>
      <w:r>
        <w:rPr>
          <w:sz w:val="28"/>
        </w:rPr>
        <w:t>.</w:t>
      </w:r>
    </w:p>
    <w:p w14:paraId="0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Сбор, обработка, анализ и учёт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(за исключением сбора, обработки, анализа и учёта сведений в рамках обязательного профилактического визита). </w:t>
      </w:r>
    </w:p>
    <w:p w14:paraId="0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При осуществлении сбора, обработки, анализа и учёта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14:paraId="0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случае, если объект контроля не отнесён Контрольным органом к определённой категории риска, он считается отнесённым к категории низкого риска.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2025-06-04T08:02:42Z</dcterms:created>
  <dcterms:modified xsi:type="dcterms:W3CDTF">2025-06-04T08:02:42Z</dcterms:modified>
</cp:coreProperties>
</file>