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center"/>
        <w:spacing w:before="0"/>
        <w:shd w:val="clear" w:color="auto" w:fill="auto"/>
        <w:tabs>
          <w:tab w:val="left" w:pos="7301" w:leader="underscore"/>
        </w:tabs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ИНФОРМАЦИОННО-АНАЛИТИЧЕСК</w:t>
      </w:r>
      <w:r>
        <w:rPr>
          <w:b w:val="0"/>
          <w:sz w:val="28"/>
          <w:szCs w:val="28"/>
        </w:rPr>
        <w:t xml:space="preserve">АЯ</w:t>
      </w:r>
      <w:r>
        <w:rPr>
          <w:b w:val="0"/>
          <w:sz w:val="28"/>
          <w:szCs w:val="28"/>
        </w:rPr>
        <w:t xml:space="preserve"> СПРАВК</w:t>
      </w:r>
      <w:r>
        <w:rPr>
          <w:b w:val="0"/>
          <w:sz w:val="28"/>
          <w:szCs w:val="28"/>
        </w:rPr>
        <w:t xml:space="preserve">А</w:t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95"/>
        <w:ind w:left="0" w:right="0" w:firstLine="0"/>
        <w:jc w:val="center"/>
        <w:spacing w:before="0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результатах проведенных мероприятий в рамках исполнения </w:t>
      </w:r>
      <w:r>
        <w:rPr>
          <w:b w:val="0"/>
          <w:sz w:val="28"/>
          <w:szCs w:val="28"/>
        </w:rPr>
        <w:t xml:space="preserve">Плана</w:t>
      </w:r>
      <w:r>
        <w:rPr>
          <w:b w:val="0"/>
          <w:sz w:val="28"/>
          <w:szCs w:val="28"/>
        </w:rPr>
        <w:t xml:space="preserve"> приоритетных направлений реализации </w:t>
      </w:r>
      <w:r>
        <w:rPr>
          <w:b w:val="0"/>
          <w:sz w:val="28"/>
          <w:szCs w:val="28"/>
        </w:rPr>
        <w:t xml:space="preserve">Стратегии государственной антинаркотической политики Российской Федерации на</w:t>
      </w:r>
      <w:r>
        <w:rPr>
          <w:b w:val="0"/>
          <w:sz w:val="28"/>
          <w:szCs w:val="28"/>
        </w:rPr>
        <w:t xml:space="preserve"> период до 2030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95"/>
        <w:ind w:left="0" w:right="0" w:firstLine="0"/>
        <w:jc w:val="center"/>
        <w:spacing w:before="0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 xml:space="preserve">территории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муниципального образования город Краснодар </w:t>
      </w:r>
      <w:r>
        <w:rPr>
          <w:b w:val="0"/>
          <w:sz w:val="28"/>
          <w:szCs w:val="28"/>
        </w:rPr>
      </w:r>
    </w:p>
    <w:p>
      <w:pPr>
        <w:pStyle w:val="895"/>
        <w:ind w:left="0" w:right="0" w:firstLine="0"/>
        <w:jc w:val="center"/>
        <w:spacing w:before="0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2023 году</w:t>
      </w:r>
      <w:r>
        <w:rPr>
          <w:b w:val="0"/>
          <w:sz w:val="28"/>
          <w:szCs w:val="28"/>
        </w:rPr>
      </w:r>
      <w:r/>
    </w:p>
    <w:p>
      <w:pPr>
        <w:pStyle w:val="895"/>
        <w:ind w:firstLine="709"/>
        <w:spacing w:before="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sz w:val="28"/>
          <w:highlight w:val="none"/>
        </w:rPr>
        <w:t xml:space="preserve">Администрацией муниципального образования город Краснодар в рамках работы антинаркотической комиссии города Краснодара в 2023 году проводились мероприятия, предусмотренные Пла</w:t>
      </w:r>
      <w:r>
        <w:rPr>
          <w:rFonts w:ascii="Times New Roman" w:hAnsi="Times New Roman" w:eastAsia="Times New Roman" w:cs="Times New Roman"/>
          <w:i w:val="0"/>
          <w:sz w:val="28"/>
          <w:highlight w:val="none"/>
        </w:rPr>
        <w:t xml:space="preserve">ном (ут</w:t>
      </w:r>
      <w:r>
        <w:rPr>
          <w:rFonts w:ascii="Times New Roman" w:hAnsi="Times New Roman" w:eastAsia="Times New Roman" w:cs="Times New Roman"/>
          <w:i w:val="0"/>
          <w:sz w:val="28"/>
          <w:highlight w:val="none"/>
        </w:rPr>
        <w:t xml:space="preserve">верждён 13.01.2023 главой муниципального образования город Краснодар) реализации Стратегии государственной антинаркотической политики Российской Федерации до 2023 года, утверждённой  Указом  Президента  Российской  Федерации  от 23 ноября 2020 года № 733. 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sz w:val="28"/>
          <w:highlight w:val="none"/>
        </w:rPr>
        <w:t xml:space="preserve">Анализ наркологической ситуации на территории города Краснодара свидетельствует о том, что в целом индикаторы, предусмотренные планом реализации Стратегии за 2023 год выполнены и </w:t>
      </w:r>
      <w:r>
        <w:rPr>
          <w:rFonts w:ascii="Times New Roman" w:hAnsi="Times New Roman" w:eastAsia="Times New Roman" w:cs="Times New Roman"/>
          <w:i w:val="0"/>
          <w:sz w:val="28"/>
        </w:rPr>
        <w:t xml:space="preserve">наркообстановка</w:t>
      </w:r>
      <w:r>
        <w:rPr>
          <w:rFonts w:ascii="Times New Roman" w:hAnsi="Times New Roman" w:eastAsia="Times New Roman" w:cs="Times New Roman"/>
          <w:i w:val="0"/>
          <w:sz w:val="28"/>
        </w:rPr>
        <w:t xml:space="preserve"> на территории Краснодара </w:t>
      </w:r>
      <w:r>
        <w:rPr>
          <w:rFonts w:ascii="Times New Roman" w:hAnsi="Times New Roman" w:eastAsia="Times New Roman" w:cs="Times New Roman"/>
          <w:i w:val="0"/>
          <w:sz w:val="28"/>
        </w:rPr>
        <w:t xml:space="preserve">характеризуется следующими показателями: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вовлеченность населения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в незаконный оборот наркотиков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(количество случаев привлечения к уголовной и административной ответственности за нарушение законодательства Российской Федерации о наркотических средствах и психотропных веществах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)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–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191,5 на 100 тысяч населения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(плановая 330)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криминогенность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наркомании (соотношение количества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наркопотребителей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, привлеченных к уголовной ответственности и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административной ответственности за потребление наркотиков)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–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153 на 100 тысяч населения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(плановая – 305)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;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количество случаев отравления наркотиками, в том числе среди несовершеннолетних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–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31,3 на 100 тысяч населения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(плановая – не более 35,0)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;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количество случаев смерти в результате потребления наркотиков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–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7,67 на 100 тысяч населения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(плановая – не более 8,0)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</w:rPr>
        <w:t xml:space="preserve">.</w:t>
      </w: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i w:val="0"/>
          <w:color w:val="000000" w:themeColor="text1"/>
          <w:sz w:val="28"/>
          <w:highlight w:val="none"/>
        </w:rPr>
        <w:t xml:space="preserve">В 2023 году </w:t>
      </w:r>
      <w:r>
        <w:rPr>
          <w:rFonts w:ascii="Times New Roman" w:hAnsi="Times New Roman" w:eastAsia="Times New Roman" w:cs="Times New Roman"/>
          <w:color w:val="000000"/>
        </w:rPr>
        <w:t xml:space="preserve">принимался ряд мер направленных на снижение уровня потребления наркотиков как среди взрослого населения, так и среди несовершеннолетних, в том числе обучающихся в образовательных организациях города. Так на </w:t>
      </w:r>
      <w:r>
        <w:rPr>
          <w:rFonts w:ascii="Times New Roman" w:hAnsi="Times New Roman" w:eastAsia="Times New Roman" w:cs="Times New Roman"/>
          <w:color w:val="000000"/>
        </w:rPr>
        <w:t xml:space="preserve">начало 2023 года утверждённый объём финансирования муниципальной программы «Комплексные меры по профилактике наркомании в городе Краснодаре» составлял 1489,8 тыс. рублей, </w:t>
      </w:r>
      <w:r/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в том числе: департамент образования –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901,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тыс. руб., управление культуры –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25,0 тыс. руб., управление по делам молод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ё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жи –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54,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5 тыс. руб., департамент по физической культуре и спорту –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209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тыс. руб.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/>
        </w:rPr>
        <w:t xml:space="preserve">анные средства позволили организовать работу кабинетов профилактики наркомании в каждой общеобразовательной организации города Краснодара. </w:t>
      </w:r>
      <w:r>
        <w:rPr>
          <w:rFonts w:ascii="Times New Roman" w:hAnsi="Times New Roman" w:eastAsia="Times New Roman" w:cs="Times New Roman"/>
          <w:color w:val="000000"/>
        </w:rPr>
        <w:t xml:space="preserve">Важнейшей задачей в рамках антинаркотической работы являются мероприятия, проводимые с несовершеннолетними жителями города Краснодара.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highlight w:val="none"/>
        </w:rPr>
        <w:t xml:space="preserve">По итогам года </w:t>
      </w:r>
      <w:r>
        <w:rPr>
          <w:rFonts w:ascii="Times New Roman" w:hAnsi="Times New Roman" w:eastAsia="Times New Roman" w:cs="Times New Roman"/>
          <w:color w:val="000000"/>
        </w:rPr>
        <w:t xml:space="preserve">отмечается снижение </w:t>
      </w:r>
      <w:r>
        <w:rPr>
          <w:rFonts w:ascii="Times New Roman" w:hAnsi="Times New Roman" w:eastAsia="Times New Roman" w:cs="Times New Roman"/>
          <w:color w:val="000000"/>
        </w:rPr>
        <w:t xml:space="preserve">показателей наркологического диспансера по состоящим на учёте несовершеннолетним. На 17% снизилось количество несовершеннолетних потребителей наркотических веществ (с 53 до 44)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/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highlight w:val="none"/>
        </w:rPr>
        <w:t xml:space="preserve">Зарегистрировано снижение на 7% фактов </w:t>
      </w:r>
      <w:r>
        <w:rPr>
          <w:rFonts w:ascii="Times New Roman" w:hAnsi="Times New Roman" w:eastAsia="Times New Roman" w:cs="Times New Roman"/>
          <w:color w:val="000000"/>
        </w:rPr>
        <w:t xml:space="preserve">госпитализаций несовершеннолетних</w:t>
      </w:r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</w:rPr>
        <w:t xml:space="preserve">. </w:t>
      </w:r>
      <w:r>
        <w:rPr>
          <w:rFonts w:ascii="Times New Roman" w:hAnsi="Times New Roman" w:eastAsia="Times New Roman" w:cs="Times New Roman"/>
          <w:color w:val="000000"/>
        </w:rPr>
        <w:t xml:space="preserve">Из 27 подростков поступивших с отравлениями в лечебные учреждения города, 12 приходится на отравления от наркотических средств (АППГ - 15) и 15 на лекарствен</w:t>
      </w:r>
      <w:r>
        <w:rPr>
          <w:rFonts w:ascii="Times New Roman" w:hAnsi="Times New Roman" w:eastAsia="Times New Roman" w:cs="Times New Roman"/>
          <w:color w:val="000000"/>
        </w:rPr>
        <w:t xml:space="preserve">ные препараты (АППГ - 14).</w:t>
      </w:r>
      <w:r>
        <w:rPr>
          <w:rFonts w:ascii="Times New Roman" w:hAnsi="Times New Roman" w:eastAsia="Times New Roman" w:cs="Times New Roman"/>
          <w:color w:val="000000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Беспокойство в 2023 году вызывало количество госпитализаций от отравлений наркотическими веществами. </w:t>
      </w:r>
      <w:r>
        <w:rPr>
          <w:rFonts w:ascii="Times New Roman" w:hAnsi="Times New Roman" w:eastAsia="Times New Roman" w:cs="Times New Roman"/>
          <w:color w:val="000000"/>
        </w:rPr>
        <w:t xml:space="preserve">Их рост составил 12%, с 344 до 384. Недостаточно эффективно была организована работа по профилактике «аптечной» наркомании. </w:t>
      </w:r>
      <w:r>
        <w:rPr>
          <w:rFonts w:ascii="Times New Roman" w:hAnsi="Times New Roman" w:eastAsia="Times New Roman" w:cs="Times New Roman"/>
          <w:color w:val="000000"/>
        </w:rPr>
        <w:t xml:space="preserve">Зарегистрирован рост бол</w:t>
      </w:r>
      <w:r>
        <w:rPr>
          <w:rFonts w:ascii="Times New Roman" w:hAnsi="Times New Roman" w:eastAsia="Times New Roman" w:cs="Times New Roman"/>
          <w:color w:val="000000"/>
        </w:rPr>
        <w:t xml:space="preserve">ее чем на 46% (с 54 до 79) отравлений лекарственными препаратами, вызывающими наркотическое опьянение.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/>
        </w:rPr>
        <w:t xml:space="preserve">ешение указанных выше проблем в профилактике наркомании на территории города Краснодара стало приоритетным направлением в 2024 году для субъектов профилактики. Основная цель - это привить детям любовь к здоровому образу жизни и оградить их от наркотиков. </w:t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  <w:t xml:space="preserve">Антинаркотической комиссией муниципального образования город Краснодар подготовлен План реализации Стратегии государственной антинаркотической политики Российской Федерации до 2030 года, утвержденной Указом Президента Российской Федерации от 23 ноября 2020</w:t>
      </w:r>
      <w:r>
        <w:rPr>
          <w:rFonts w:ascii="Times New Roman" w:hAnsi="Times New Roman" w:eastAsia="Times New Roman" w:cs="Times New Roman"/>
          <w:color w:val="000000"/>
        </w:rPr>
        <w:t xml:space="preserve"> года № 733 на 2023 год учитывая динамику развития наркоситуации</w:t>
      </w:r>
      <w:r>
        <w:rPr>
          <w:rFonts w:ascii="Times New Roman" w:hAnsi="Times New Roman" w:eastAsia="Times New Roman" w:cs="Times New Roman"/>
          <w:color w:val="000000"/>
          <w:highlight w:val="none"/>
        </w:rPr>
        <w:t xml:space="preserve"> в городе Краснодаре в 2023 году.</w:t>
      </w:r>
      <w:r/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  <w:t xml:space="preserve">Управление общественной безопасности и правопорядка </w:t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spacing w:after="0" w:line="322" w:lineRule="exact"/>
        <w:shd w:val="clear" w:color="auto" w:fill="auto"/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  <w:t xml:space="preserve">Администрации муниципального образования город Краснодар</w:t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0" w:h="16840" w:orient="portrait"/>
      <w:pgMar w:top="794" w:right="425" w:bottom="794" w:left="1514" w:header="0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38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7"/>
    <w:next w:val="887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8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7"/>
    <w:next w:val="887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8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8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8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8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8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8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8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7"/>
    <w:next w:val="887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8"/>
    <w:link w:val="730"/>
    <w:uiPriority w:val="10"/>
    <w:rPr>
      <w:sz w:val="48"/>
      <w:szCs w:val="48"/>
    </w:rPr>
  </w:style>
  <w:style w:type="paragraph" w:styleId="732">
    <w:name w:val="Subtitle"/>
    <w:basedOn w:val="887"/>
    <w:next w:val="887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8"/>
    <w:link w:val="732"/>
    <w:uiPriority w:val="11"/>
    <w:rPr>
      <w:sz w:val="24"/>
      <w:szCs w:val="24"/>
    </w:rPr>
  </w:style>
  <w:style w:type="paragraph" w:styleId="734">
    <w:name w:val="Quote"/>
    <w:basedOn w:val="887"/>
    <w:next w:val="887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7"/>
    <w:next w:val="887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7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basedOn w:val="888"/>
    <w:link w:val="738"/>
    <w:uiPriority w:val="99"/>
  </w:style>
  <w:style w:type="paragraph" w:styleId="740">
    <w:name w:val="Footer"/>
    <w:basedOn w:val="887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basedOn w:val="888"/>
    <w:link w:val="740"/>
    <w:uiPriority w:val="99"/>
  </w:style>
  <w:style w:type="paragraph" w:styleId="742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character" w:styleId="891" w:customStyle="1">
    <w:name w:val="Основной текст (2)_"/>
    <w:basedOn w:val="888"/>
    <w:link w:val="89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92" w:customStyle="1">
    <w:name w:val="Основной текст (3)_"/>
    <w:basedOn w:val="888"/>
    <w:link w:val="895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893" w:customStyle="1">
    <w:name w:val="Основной текст (4)_"/>
    <w:basedOn w:val="888"/>
    <w:link w:val="896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894" w:customStyle="1">
    <w:name w:val="Основной текст (2)"/>
    <w:basedOn w:val="887"/>
    <w:link w:val="891"/>
    <w:pPr>
      <w:ind w:hanging="360"/>
      <w:jc w:val="right"/>
      <w:spacing w:after="18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895" w:customStyle="1">
    <w:name w:val="Основной текст (3)"/>
    <w:basedOn w:val="887"/>
    <w:link w:val="892"/>
    <w:pPr>
      <w:jc w:val="both"/>
      <w:spacing w:before="180" w:after="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896" w:customStyle="1">
    <w:name w:val="Основной текст (4)"/>
    <w:basedOn w:val="887"/>
    <w:link w:val="893"/>
    <w:pPr>
      <w:spacing w:after="36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897">
    <w:name w:val="Balloon Text"/>
    <w:basedOn w:val="887"/>
    <w:link w:val="89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basedOn w:val="888"/>
    <w:link w:val="897"/>
    <w:uiPriority w:val="99"/>
    <w:semiHidden/>
    <w:rPr>
      <w:rFonts w:ascii="Segoe UI" w:hAnsi="Segoe UI" w:cs="Segoe UI"/>
      <w:sz w:val="18"/>
      <w:szCs w:val="18"/>
    </w:rPr>
  </w:style>
  <w:style w:type="paragraph" w:styleId="899">
    <w:name w:val="List Paragraph"/>
    <w:basedOn w:val="887"/>
    <w:uiPriority w:val="34"/>
    <w:qFormat/>
    <w:pPr>
      <w:contextualSpacing/>
      <w:ind w:left="720"/>
    </w:pPr>
  </w:style>
  <w:style w:type="table" w:styleId="900">
    <w:name w:val="Table Grid"/>
    <w:basedOn w:val="8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ОСНОВНОЙ"/>
    <w:pPr>
      <w:contextualSpacing w:val="0"/>
      <w:ind w:left="0" w:right="0" w:firstLine="397"/>
      <w:jc w:val="both"/>
      <w:keepLines w:val="0"/>
      <w:keepNext w:val="0"/>
      <w:pageBreakBefore w:val="0"/>
      <w:spacing w:before="0" w:beforeAutospacing="0" w:after="0" w:afterAutospacing="0" w:line="215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 Narrow" w:hAnsi="Arial Narro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2">
    <w:name w:val="Обычный"/>
    <w:next w:val="901"/>
    <w:link w:val="90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revision>19</cp:revision>
  <dcterms:created xsi:type="dcterms:W3CDTF">2022-01-14T07:29:00Z</dcterms:created>
  <dcterms:modified xsi:type="dcterms:W3CDTF">2024-08-02T13:01:10Z</dcterms:modified>
</cp:coreProperties>
</file>