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3C" w:rsidRPr="00511F4C" w:rsidRDefault="00574DF1" w:rsidP="0091243C">
      <w:pPr>
        <w:shd w:val="clear" w:color="auto" w:fill="FFFFFF"/>
        <w:spacing w:before="100" w:beforeAutospacing="1" w:after="100" w:afterAutospacing="1"/>
        <w:ind w:left="4820"/>
        <w:jc w:val="center"/>
        <w:rPr>
          <w:color w:val="22272F"/>
          <w:spacing w:val="-4"/>
          <w:sz w:val="23"/>
          <w:szCs w:val="23"/>
        </w:rPr>
      </w:pPr>
      <w:r>
        <w:rPr>
          <w:color w:val="22272F"/>
          <w:spacing w:val="-4"/>
          <w:sz w:val="28"/>
          <w:szCs w:val="28"/>
        </w:rPr>
        <w:t>ПРИЛОЖЕНИЕ</w:t>
      </w:r>
      <w:r w:rsidR="0091243C" w:rsidRPr="00511F4C">
        <w:rPr>
          <w:color w:val="22272F"/>
          <w:spacing w:val="-4"/>
          <w:sz w:val="28"/>
          <w:szCs w:val="28"/>
        </w:rPr>
        <w:t xml:space="preserve"> № 3</w:t>
      </w:r>
      <w:r w:rsidR="0091243C" w:rsidRPr="00511F4C">
        <w:rPr>
          <w:color w:val="22272F"/>
          <w:spacing w:val="-4"/>
          <w:sz w:val="28"/>
          <w:szCs w:val="28"/>
        </w:rPr>
        <w:br/>
        <w:t>к </w:t>
      </w:r>
      <w:hyperlink r:id="rId6" w:anchor="/document/36991867/entry/1000" w:history="1">
        <w:r w:rsidR="0091243C" w:rsidRPr="00511F4C">
          <w:rPr>
            <w:color w:val="000000" w:themeColor="text1"/>
            <w:spacing w:val="-4"/>
            <w:sz w:val="28"/>
            <w:szCs w:val="28"/>
          </w:rPr>
          <w:t>административному регламенту</w:t>
        </w:r>
      </w:hyperlink>
      <w:r w:rsidR="0091243C" w:rsidRPr="00511F4C">
        <w:rPr>
          <w:color w:val="000000" w:themeColor="text1"/>
          <w:spacing w:val="-4"/>
          <w:sz w:val="28"/>
          <w:szCs w:val="28"/>
        </w:rPr>
        <w:br/>
      </w:r>
      <w:r w:rsidR="0091243C" w:rsidRPr="00511F4C">
        <w:rPr>
          <w:color w:val="22272F"/>
          <w:spacing w:val="-4"/>
          <w:sz w:val="28"/>
          <w:szCs w:val="28"/>
        </w:rPr>
        <w:t>предоставления администрацией</w:t>
      </w:r>
      <w:r w:rsidR="0091243C" w:rsidRPr="00511F4C">
        <w:rPr>
          <w:color w:val="22272F"/>
          <w:spacing w:val="-4"/>
          <w:sz w:val="28"/>
          <w:szCs w:val="28"/>
        </w:rPr>
        <w:br/>
        <w:t>муниципального образования</w:t>
      </w:r>
      <w:r w:rsidR="0091243C" w:rsidRPr="00511F4C">
        <w:rPr>
          <w:color w:val="22272F"/>
          <w:spacing w:val="-4"/>
          <w:sz w:val="28"/>
          <w:szCs w:val="28"/>
        </w:rPr>
        <w:br/>
        <w:t>город Краснодар муниципальной услуги «Прекращение правоотношений с правообладателями земельных участков»</w:t>
      </w:r>
      <w:r w:rsidR="0091243C" w:rsidRPr="00511F4C">
        <w:rPr>
          <w:color w:val="22272F"/>
          <w:spacing w:val="-4"/>
          <w:sz w:val="28"/>
          <w:szCs w:val="28"/>
        </w:rPr>
        <w:br/>
      </w:r>
    </w:p>
    <w:p w:rsidR="006D1956" w:rsidRDefault="006D1956" w:rsidP="0091243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B45AC" w:rsidRDefault="001B45AC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0F33" w:rsidRDefault="00AF2237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C82656" w:rsidRDefault="00C8265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общих признаков, по которым объединяются категории заявителей, </w:t>
      </w:r>
      <w:r w:rsidR="00BA0F3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а также комбинации признаков заявителей, каждая из которых соответствует одному варианту предоставления </w:t>
      </w:r>
      <w:r w:rsidR="00593056">
        <w:rPr>
          <w:b/>
          <w:bCs/>
          <w:sz w:val="28"/>
          <w:szCs w:val="28"/>
        </w:rPr>
        <w:br/>
        <w:t xml:space="preserve">муниципальной </w:t>
      </w:r>
      <w:r>
        <w:rPr>
          <w:b/>
          <w:bCs/>
          <w:sz w:val="28"/>
          <w:szCs w:val="28"/>
        </w:rPr>
        <w:t xml:space="preserve">услуги </w:t>
      </w:r>
    </w:p>
    <w:p w:rsidR="00511F4C" w:rsidRDefault="00511F4C" w:rsidP="00511F4C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511F4C" w:rsidRDefault="00511F4C" w:rsidP="00511F4C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700"/>
        <w:gridCol w:w="4394"/>
      </w:tblGrid>
      <w:tr w:rsidR="00511F4C" w:rsidRPr="00230AD5" w:rsidTr="009253CE">
        <w:trPr>
          <w:trHeight w:val="555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511F4C" w:rsidRPr="00230AD5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Общие признаки, по которым объединяются категории заявителей</w:t>
            </w:r>
          </w:p>
        </w:tc>
      </w:tr>
      <w:tr w:rsidR="00511F4C" w:rsidRPr="00230AD5" w:rsidTr="009253CE">
        <w:tc>
          <w:tcPr>
            <w:tcW w:w="540" w:type="dxa"/>
            <w:shd w:val="clear" w:color="auto" w:fill="auto"/>
            <w:vAlign w:val="center"/>
          </w:tcPr>
          <w:p w:rsidR="00511F4C" w:rsidRPr="00230AD5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№</w:t>
            </w:r>
          </w:p>
          <w:p w:rsidR="00511F4C" w:rsidRPr="00230AD5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п/п</w:t>
            </w:r>
          </w:p>
        </w:tc>
        <w:tc>
          <w:tcPr>
            <w:tcW w:w="4700" w:type="dxa"/>
            <w:shd w:val="clear" w:color="auto" w:fill="auto"/>
            <w:vAlign w:val="center"/>
          </w:tcPr>
          <w:p w:rsidR="00511F4C" w:rsidRPr="00230AD5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Общие признаки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11F4C" w:rsidRPr="00230AD5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Категории заявителей</w:t>
            </w:r>
          </w:p>
        </w:tc>
      </w:tr>
      <w:tr w:rsidR="00511F4C" w:rsidRPr="00230AD5" w:rsidTr="006F31F2">
        <w:tc>
          <w:tcPr>
            <w:tcW w:w="540" w:type="dxa"/>
            <w:shd w:val="clear" w:color="auto" w:fill="auto"/>
          </w:tcPr>
          <w:p w:rsidR="00511F4C" w:rsidRPr="00230AD5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1.</w:t>
            </w:r>
          </w:p>
        </w:tc>
        <w:tc>
          <w:tcPr>
            <w:tcW w:w="4700" w:type="dxa"/>
            <w:shd w:val="clear" w:color="auto" w:fill="auto"/>
          </w:tcPr>
          <w:p w:rsidR="00511F4C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pacing w:val="-12"/>
                <w:lang w:eastAsia="ar-SA"/>
              </w:rPr>
            </w:pPr>
            <w:r w:rsidRPr="00511F4C">
              <w:rPr>
                <w:spacing w:val="-12"/>
                <w:lang w:eastAsia="ar-SA"/>
              </w:rPr>
              <w:t>Заявителями на предоставление муниципальной услуги являются физические лица и юридические лица, которым земельный участок предоставлен администрацией муниципального образования горо</w:t>
            </w:r>
            <w:r w:rsidR="00E94656">
              <w:rPr>
                <w:spacing w:val="-12"/>
                <w:lang w:eastAsia="ar-SA"/>
              </w:rPr>
              <w:t>д Краснодар либо лицом, правопре</w:t>
            </w:r>
            <w:r w:rsidRPr="00511F4C">
              <w:rPr>
                <w:spacing w:val="-12"/>
                <w:lang w:eastAsia="ar-SA"/>
              </w:rPr>
              <w:t>емником которого является администрация муниципального образования город Краснодар, на праве постоянного (бессрочного) пользования или пожизненного наследуемого владения, обращающиеся за отказом от соответствую</w:t>
            </w:r>
            <w:r w:rsidR="006F31F2">
              <w:rPr>
                <w:spacing w:val="-12"/>
                <w:lang w:eastAsia="ar-SA"/>
              </w:rPr>
              <w:t>щего права на земельный участок</w:t>
            </w:r>
          </w:p>
          <w:p w:rsidR="00511F4C" w:rsidRPr="00511F4C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pacing w:val="-1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511F4C" w:rsidRPr="00230AD5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511F4C">
              <w:rPr>
                <w:spacing w:val="-6"/>
                <w:lang w:eastAsia="ar-SA"/>
              </w:rPr>
              <w:t>Категории, указанные в пункте 2 подраздела I.II раздела I настоящего Регламента</w:t>
            </w:r>
          </w:p>
        </w:tc>
      </w:tr>
      <w:tr w:rsidR="00511F4C" w:rsidRPr="00230AD5" w:rsidTr="00511F4C">
        <w:trPr>
          <w:trHeight w:val="777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511F4C" w:rsidRPr="00230AD5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511F4C" w:rsidRPr="00230AD5" w:rsidTr="009253CE">
        <w:trPr>
          <w:trHeight w:val="624"/>
        </w:trPr>
        <w:tc>
          <w:tcPr>
            <w:tcW w:w="540" w:type="dxa"/>
            <w:shd w:val="clear" w:color="auto" w:fill="auto"/>
            <w:vAlign w:val="center"/>
          </w:tcPr>
          <w:p w:rsidR="00511F4C" w:rsidRPr="00230AD5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№</w:t>
            </w:r>
          </w:p>
          <w:p w:rsidR="00511F4C" w:rsidRPr="00230AD5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п/п</w:t>
            </w:r>
          </w:p>
        </w:tc>
        <w:tc>
          <w:tcPr>
            <w:tcW w:w="4700" w:type="dxa"/>
            <w:shd w:val="clear" w:color="auto" w:fill="auto"/>
            <w:vAlign w:val="center"/>
          </w:tcPr>
          <w:p w:rsidR="00511F4C" w:rsidRPr="00230AD5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Комбинация признаков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11F4C" w:rsidRPr="00230AD5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Вариант предоставления муниципальной услуги</w:t>
            </w:r>
          </w:p>
        </w:tc>
      </w:tr>
      <w:tr w:rsidR="00830684" w:rsidRPr="00230AD5" w:rsidTr="00B54B14">
        <w:tc>
          <w:tcPr>
            <w:tcW w:w="540" w:type="dxa"/>
            <w:shd w:val="clear" w:color="auto" w:fill="auto"/>
            <w:vAlign w:val="center"/>
          </w:tcPr>
          <w:p w:rsidR="00830684" w:rsidRPr="00230AD5" w:rsidRDefault="00830684" w:rsidP="00B54B1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1</w:t>
            </w:r>
          </w:p>
        </w:tc>
        <w:tc>
          <w:tcPr>
            <w:tcW w:w="4700" w:type="dxa"/>
            <w:shd w:val="clear" w:color="auto" w:fill="auto"/>
          </w:tcPr>
          <w:p w:rsidR="00830684" w:rsidRPr="00230AD5" w:rsidRDefault="00830684" w:rsidP="00B54B1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830684" w:rsidRPr="00230AD5" w:rsidRDefault="00830684" w:rsidP="00B54B14">
            <w:pPr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3</w:t>
            </w:r>
          </w:p>
        </w:tc>
      </w:tr>
      <w:tr w:rsidR="00511F4C" w:rsidRPr="00230AD5" w:rsidTr="006F31F2">
        <w:tc>
          <w:tcPr>
            <w:tcW w:w="540" w:type="dxa"/>
            <w:shd w:val="clear" w:color="auto" w:fill="auto"/>
          </w:tcPr>
          <w:p w:rsidR="00511F4C" w:rsidRPr="00230AD5" w:rsidRDefault="00511F4C" w:rsidP="009253CE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1.</w:t>
            </w:r>
          </w:p>
        </w:tc>
        <w:tc>
          <w:tcPr>
            <w:tcW w:w="4700" w:type="dxa"/>
            <w:shd w:val="clear" w:color="auto" w:fill="auto"/>
          </w:tcPr>
          <w:p w:rsidR="00511F4C" w:rsidRPr="00BE72A2" w:rsidRDefault="00511F4C" w:rsidP="00511F4C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pacing w:val="-12"/>
                <w:lang w:eastAsia="ar-SA"/>
              </w:rPr>
            </w:pPr>
            <w:r w:rsidRPr="00BE72A2">
              <w:rPr>
                <w:spacing w:val="-12"/>
                <w:lang w:eastAsia="ar-SA"/>
              </w:rPr>
              <w:t xml:space="preserve">Заявителями на предоставление муниципальной услуги являются физические лица и </w:t>
            </w:r>
            <w:proofErr w:type="spellStart"/>
            <w:r w:rsidRPr="00BE72A2">
              <w:rPr>
                <w:spacing w:val="-12"/>
                <w:lang w:eastAsia="ar-SA"/>
              </w:rPr>
              <w:t>юридичес</w:t>
            </w:r>
            <w:proofErr w:type="spellEnd"/>
            <w:r w:rsidR="00BE72A2" w:rsidRPr="00BE72A2">
              <w:rPr>
                <w:spacing w:val="-12"/>
                <w:lang w:eastAsia="ar-SA"/>
              </w:rPr>
              <w:t>-</w:t>
            </w:r>
            <w:r w:rsidRPr="00BE72A2">
              <w:rPr>
                <w:spacing w:val="-12"/>
                <w:lang w:eastAsia="ar-SA"/>
              </w:rPr>
              <w:t>кие лица, которым земельный участок предоставлен администрацией муниципального образования горо</w:t>
            </w:r>
            <w:r w:rsidR="00E94656">
              <w:rPr>
                <w:spacing w:val="-12"/>
                <w:lang w:eastAsia="ar-SA"/>
              </w:rPr>
              <w:t>д Краснодар либо лицом, правопре</w:t>
            </w:r>
            <w:r w:rsidRPr="00BE72A2">
              <w:rPr>
                <w:spacing w:val="-12"/>
                <w:lang w:eastAsia="ar-SA"/>
              </w:rPr>
              <w:t xml:space="preserve">емником которого является </w:t>
            </w:r>
            <w:proofErr w:type="spellStart"/>
            <w:r w:rsidRPr="00BE72A2">
              <w:rPr>
                <w:spacing w:val="-12"/>
                <w:lang w:eastAsia="ar-SA"/>
              </w:rPr>
              <w:t>адми</w:t>
            </w:r>
            <w:r w:rsidR="00BE72A2" w:rsidRPr="00BE72A2">
              <w:rPr>
                <w:spacing w:val="-12"/>
                <w:lang w:eastAsia="ar-SA"/>
              </w:rPr>
              <w:t>-</w:t>
            </w:r>
            <w:r w:rsidRPr="00BE72A2">
              <w:rPr>
                <w:spacing w:val="-12"/>
                <w:lang w:eastAsia="ar-SA"/>
              </w:rPr>
              <w:t>нистрация</w:t>
            </w:r>
            <w:proofErr w:type="spellEnd"/>
            <w:r w:rsidRPr="00BE72A2">
              <w:rPr>
                <w:spacing w:val="-12"/>
                <w:lang w:eastAsia="ar-SA"/>
              </w:rPr>
              <w:t xml:space="preserve"> муниципального образования город К</w:t>
            </w:r>
            <w:r w:rsidR="00BE72A2" w:rsidRPr="00BE72A2">
              <w:rPr>
                <w:spacing w:val="-12"/>
                <w:lang w:eastAsia="ar-SA"/>
              </w:rPr>
              <w:t>раснодар, на праве постоянного (бессрочного)</w:t>
            </w:r>
          </w:p>
        </w:tc>
        <w:tc>
          <w:tcPr>
            <w:tcW w:w="4394" w:type="dxa"/>
            <w:shd w:val="clear" w:color="auto" w:fill="auto"/>
          </w:tcPr>
          <w:p w:rsidR="00511F4C" w:rsidRPr="006F31F2" w:rsidRDefault="00511F4C" w:rsidP="00511F4C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pacing w:val="-10"/>
                <w:lang w:eastAsia="ar-SA"/>
              </w:rPr>
            </w:pPr>
            <w:r w:rsidRPr="006F31F2">
              <w:rPr>
                <w:spacing w:val="-10"/>
                <w:lang w:eastAsia="ar-SA"/>
              </w:rPr>
              <w:t>Вариант предоставления муниципальной услуги, ук</w:t>
            </w:r>
            <w:r w:rsidR="004B1242">
              <w:rPr>
                <w:spacing w:val="-10"/>
                <w:lang w:eastAsia="ar-SA"/>
              </w:rPr>
              <w:t>азанный в подпункте 1) пункта 39</w:t>
            </w:r>
            <w:r w:rsidRPr="006F31F2">
              <w:rPr>
                <w:spacing w:val="-10"/>
                <w:lang w:eastAsia="ar-SA"/>
              </w:rPr>
              <w:t xml:space="preserve"> подраздела III.I раздела III настоящего Регламента </w:t>
            </w:r>
          </w:p>
        </w:tc>
      </w:tr>
      <w:tr w:rsidR="00511F4C" w:rsidRPr="00230AD5" w:rsidTr="009253CE">
        <w:tc>
          <w:tcPr>
            <w:tcW w:w="540" w:type="dxa"/>
            <w:shd w:val="clear" w:color="auto" w:fill="auto"/>
            <w:vAlign w:val="center"/>
          </w:tcPr>
          <w:p w:rsidR="00511F4C" w:rsidRPr="00230AD5" w:rsidRDefault="00511F4C" w:rsidP="009253CE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</w:p>
        </w:tc>
        <w:tc>
          <w:tcPr>
            <w:tcW w:w="4700" w:type="dxa"/>
            <w:shd w:val="clear" w:color="auto" w:fill="auto"/>
          </w:tcPr>
          <w:p w:rsidR="00511F4C" w:rsidRPr="00230AD5" w:rsidRDefault="00511F4C" w:rsidP="009253CE">
            <w:pPr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11F4C" w:rsidRDefault="00511F4C" w:rsidP="009253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ar-SA"/>
              </w:rPr>
            </w:pPr>
            <w:r>
              <w:rPr>
                <w:spacing w:val="-6"/>
                <w:lang w:eastAsia="ar-SA"/>
              </w:rPr>
              <w:t>3</w:t>
            </w:r>
          </w:p>
        </w:tc>
      </w:tr>
      <w:tr w:rsidR="00511F4C" w:rsidRPr="00230AD5" w:rsidTr="00BE72A2">
        <w:trPr>
          <w:trHeight w:val="985"/>
        </w:trPr>
        <w:tc>
          <w:tcPr>
            <w:tcW w:w="540" w:type="dxa"/>
            <w:shd w:val="clear" w:color="auto" w:fill="auto"/>
            <w:vAlign w:val="center"/>
          </w:tcPr>
          <w:p w:rsidR="00511F4C" w:rsidRPr="00230AD5" w:rsidRDefault="00511F4C" w:rsidP="009253CE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4700" w:type="dxa"/>
            <w:shd w:val="clear" w:color="auto" w:fill="auto"/>
          </w:tcPr>
          <w:p w:rsidR="00511F4C" w:rsidRDefault="00511F4C" w:rsidP="009253CE">
            <w:pPr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  <w:r w:rsidRPr="00511F4C">
              <w:rPr>
                <w:spacing w:val="-12"/>
              </w:rPr>
              <w:t>пользования или пожизненного наследуемого владения, обращающиеся за отказом от соответствующего права на земельный участок.</w:t>
            </w:r>
          </w:p>
          <w:p w:rsidR="00574DF1" w:rsidRPr="00230AD5" w:rsidRDefault="00574DF1" w:rsidP="009253CE">
            <w:pPr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  <w:r w:rsidRPr="00574DF1">
              <w:rPr>
                <w:spacing w:val="-12"/>
              </w:rPr>
              <w:t>От имени заявителя могут действовать представители, наделённы</w:t>
            </w:r>
            <w:r w:rsidR="006F31F2">
              <w:rPr>
                <w:spacing w:val="-12"/>
              </w:rPr>
              <w:t>е соответствующими полномочиями</w:t>
            </w:r>
          </w:p>
        </w:tc>
        <w:tc>
          <w:tcPr>
            <w:tcW w:w="4394" w:type="dxa"/>
            <w:shd w:val="clear" w:color="auto" w:fill="auto"/>
          </w:tcPr>
          <w:p w:rsidR="00511F4C" w:rsidRPr="00230AD5" w:rsidRDefault="00511F4C" w:rsidP="009253CE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ar-SA"/>
              </w:rPr>
            </w:pPr>
          </w:p>
        </w:tc>
      </w:tr>
      <w:tr w:rsidR="00511F4C" w:rsidRPr="00230AD5" w:rsidTr="006F31F2">
        <w:trPr>
          <w:trHeight w:val="1838"/>
        </w:trPr>
        <w:tc>
          <w:tcPr>
            <w:tcW w:w="540" w:type="dxa"/>
            <w:shd w:val="clear" w:color="auto" w:fill="auto"/>
          </w:tcPr>
          <w:p w:rsidR="00511F4C" w:rsidRPr="00230AD5" w:rsidRDefault="00511F4C" w:rsidP="009253CE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700" w:type="dxa"/>
            <w:shd w:val="clear" w:color="auto" w:fill="auto"/>
          </w:tcPr>
          <w:p w:rsidR="00511F4C" w:rsidRPr="006F31F2" w:rsidRDefault="00511F4C" w:rsidP="009253CE">
            <w:pPr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6F31F2">
              <w:rPr>
                <w:spacing w:val="-8"/>
              </w:rPr>
              <w:t xml:space="preserve">Заявители, ранее обратившиеся за получением муниципальной услуги «Прекращение правоотношений с правообладателями </w:t>
            </w:r>
            <w:proofErr w:type="gramStart"/>
            <w:r w:rsidRPr="006F31F2">
              <w:rPr>
                <w:spacing w:val="-8"/>
              </w:rPr>
              <w:t>земель</w:t>
            </w:r>
            <w:r w:rsidR="006F31F2">
              <w:rPr>
                <w:spacing w:val="-8"/>
              </w:rPr>
              <w:t>-</w:t>
            </w:r>
            <w:proofErr w:type="spellStart"/>
            <w:r w:rsidRPr="006F31F2">
              <w:rPr>
                <w:spacing w:val="-8"/>
              </w:rPr>
              <w:t>ных</w:t>
            </w:r>
            <w:proofErr w:type="spellEnd"/>
            <w:proofErr w:type="gramEnd"/>
            <w:r w:rsidRPr="006F31F2">
              <w:rPr>
                <w:spacing w:val="-8"/>
              </w:rPr>
              <w:t xml:space="preserve"> участков»</w:t>
            </w:r>
            <w:r w:rsidR="006F31F2" w:rsidRPr="006F31F2">
              <w:rPr>
                <w:spacing w:val="-8"/>
              </w:rPr>
              <w:t>,</w:t>
            </w:r>
            <w:r w:rsidRPr="006F31F2">
              <w:rPr>
                <w:spacing w:val="-8"/>
              </w:rPr>
              <w:t xml:space="preserve"> по результатам предоставления которой выданы документы с допущенными опечатками и ошибками.</w:t>
            </w:r>
          </w:p>
          <w:p w:rsidR="00574DF1" w:rsidRPr="00511F4C" w:rsidRDefault="00574DF1" w:rsidP="009253CE">
            <w:pPr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  <w:r w:rsidRPr="006F31F2">
              <w:rPr>
                <w:spacing w:val="-8"/>
              </w:rPr>
              <w:t>От имени заявителя могут действовать представители, наделённые соответствую</w:t>
            </w:r>
            <w:r w:rsidR="006F31F2">
              <w:rPr>
                <w:spacing w:val="-8"/>
              </w:rPr>
              <w:t>-</w:t>
            </w:r>
            <w:proofErr w:type="spellStart"/>
            <w:r w:rsidRPr="006F31F2">
              <w:rPr>
                <w:spacing w:val="-8"/>
              </w:rPr>
              <w:t>щими</w:t>
            </w:r>
            <w:proofErr w:type="spellEnd"/>
            <w:r w:rsidRPr="006F31F2">
              <w:rPr>
                <w:spacing w:val="-8"/>
              </w:rPr>
              <w:t xml:space="preserve"> полномочи</w:t>
            </w:r>
            <w:r w:rsidR="006F31F2">
              <w:rPr>
                <w:spacing w:val="-8"/>
              </w:rPr>
              <w:t>ями</w:t>
            </w:r>
          </w:p>
        </w:tc>
        <w:tc>
          <w:tcPr>
            <w:tcW w:w="4394" w:type="dxa"/>
            <w:shd w:val="clear" w:color="auto" w:fill="auto"/>
          </w:tcPr>
          <w:p w:rsidR="00511F4C" w:rsidRPr="006F31F2" w:rsidRDefault="00511F4C" w:rsidP="009253CE">
            <w:pPr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F31F2">
              <w:rPr>
                <w:spacing w:val="-4"/>
                <w:lang w:eastAsia="ar-SA"/>
              </w:rPr>
              <w:t xml:space="preserve">Вариант предоставления муниципальной </w:t>
            </w:r>
            <w:r w:rsidRPr="006F31F2">
              <w:rPr>
                <w:spacing w:val="-8"/>
                <w:lang w:eastAsia="ar-SA"/>
              </w:rPr>
              <w:t>услуги, ук</w:t>
            </w:r>
            <w:r w:rsidR="004B1242">
              <w:rPr>
                <w:spacing w:val="-8"/>
                <w:lang w:eastAsia="ar-SA"/>
              </w:rPr>
              <w:t>азанный в подпункте 2) пункта 39</w:t>
            </w:r>
            <w:r w:rsidRPr="006F31F2">
              <w:rPr>
                <w:spacing w:val="-4"/>
                <w:lang w:eastAsia="ar-SA"/>
              </w:rPr>
              <w:t xml:space="preserve"> подраздела III.I раздела III настоящего Регламента</w:t>
            </w:r>
          </w:p>
        </w:tc>
      </w:tr>
      <w:tr w:rsidR="00E44824" w:rsidRPr="00230AD5" w:rsidTr="006F31F2">
        <w:trPr>
          <w:trHeight w:val="1838"/>
        </w:trPr>
        <w:tc>
          <w:tcPr>
            <w:tcW w:w="540" w:type="dxa"/>
            <w:shd w:val="clear" w:color="auto" w:fill="auto"/>
          </w:tcPr>
          <w:p w:rsidR="00E44824" w:rsidRDefault="00E44824" w:rsidP="009253CE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4700" w:type="dxa"/>
            <w:shd w:val="clear" w:color="auto" w:fill="auto"/>
          </w:tcPr>
          <w:p w:rsidR="00E44824" w:rsidRPr="00E44824" w:rsidRDefault="00E44824" w:rsidP="009253CE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E44824">
              <w:rPr>
                <w:spacing w:val="-6"/>
              </w:rPr>
              <w:t xml:space="preserve">Заявители, ранее получившие </w:t>
            </w:r>
            <w:proofErr w:type="spellStart"/>
            <w:proofErr w:type="gramStart"/>
            <w:r w:rsidRPr="00E44824">
              <w:rPr>
                <w:spacing w:val="-6"/>
              </w:rPr>
              <w:t>муниципаль</w:t>
            </w:r>
            <w:r>
              <w:rPr>
                <w:spacing w:val="-6"/>
              </w:rPr>
              <w:t>-</w:t>
            </w:r>
            <w:r w:rsidRPr="00E44824">
              <w:rPr>
                <w:spacing w:val="-6"/>
              </w:rPr>
              <w:t>ную</w:t>
            </w:r>
            <w:proofErr w:type="spellEnd"/>
            <w:proofErr w:type="gramEnd"/>
            <w:r w:rsidRPr="00E44824">
              <w:rPr>
                <w:spacing w:val="-6"/>
              </w:rPr>
              <w:t xml:space="preserve"> услугу «Прекращение правоотношений с правообладателями земельных участков», обратившиеся за выдачей дубликата документа, выданного по результату её предоставления.</w:t>
            </w:r>
          </w:p>
          <w:p w:rsidR="00E44824" w:rsidRPr="006F31F2" w:rsidRDefault="00E44824" w:rsidP="009253CE">
            <w:pPr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>
              <w:rPr>
                <w:spacing w:val="-8"/>
              </w:rPr>
              <w:t>От имени заявителя могут действовать его представители, наделённые соответствую-</w:t>
            </w:r>
            <w:proofErr w:type="spellStart"/>
            <w:r>
              <w:rPr>
                <w:spacing w:val="-8"/>
              </w:rPr>
              <w:t>щими</w:t>
            </w:r>
            <w:proofErr w:type="spellEnd"/>
            <w:r>
              <w:rPr>
                <w:spacing w:val="-8"/>
              </w:rPr>
              <w:t xml:space="preserve"> полномочиями в порядке, установлен-</w:t>
            </w:r>
            <w:r w:rsidRPr="00E44824">
              <w:rPr>
                <w:spacing w:val="-10"/>
              </w:rPr>
              <w:t>ном законодательством Российской Федерации.</w:t>
            </w:r>
          </w:p>
        </w:tc>
        <w:tc>
          <w:tcPr>
            <w:tcW w:w="4394" w:type="dxa"/>
            <w:shd w:val="clear" w:color="auto" w:fill="auto"/>
          </w:tcPr>
          <w:p w:rsidR="00E44824" w:rsidRPr="00375191" w:rsidRDefault="00E44824" w:rsidP="009253CE">
            <w:pPr>
              <w:autoSpaceDE w:val="0"/>
              <w:autoSpaceDN w:val="0"/>
              <w:adjustRightInd w:val="0"/>
              <w:jc w:val="both"/>
              <w:rPr>
                <w:spacing w:val="-2"/>
                <w:lang w:eastAsia="ar-SA"/>
              </w:rPr>
            </w:pPr>
            <w:r w:rsidRPr="00375191">
              <w:rPr>
                <w:spacing w:val="-2"/>
                <w:lang w:eastAsia="ar-SA"/>
              </w:rPr>
              <w:t xml:space="preserve">Вариант предоставления муниципальной услуги, указанный в подпункте 3) </w:t>
            </w:r>
            <w:r w:rsidR="00375191">
              <w:rPr>
                <w:spacing w:val="-2"/>
                <w:lang w:eastAsia="ar-SA"/>
              </w:rPr>
              <w:t xml:space="preserve">              </w:t>
            </w:r>
            <w:r w:rsidR="004B1242">
              <w:rPr>
                <w:spacing w:val="-2"/>
                <w:lang w:eastAsia="ar-SA"/>
              </w:rPr>
              <w:t>пункта 39</w:t>
            </w:r>
            <w:bookmarkStart w:id="0" w:name="_GoBack"/>
            <w:bookmarkEnd w:id="0"/>
            <w:r w:rsidRPr="00375191">
              <w:rPr>
                <w:spacing w:val="-2"/>
                <w:lang w:eastAsia="ar-SA"/>
              </w:rPr>
              <w:t xml:space="preserve"> подраздела III.I раздела III настоящего Регламента.</w:t>
            </w:r>
          </w:p>
        </w:tc>
      </w:tr>
    </w:tbl>
    <w:p w:rsidR="0091243C" w:rsidRDefault="0091243C" w:rsidP="00C8265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C82656" w:rsidRDefault="00C82656" w:rsidP="00546512">
      <w:pPr>
        <w:pStyle w:val="ConsPlusTitle"/>
        <w:tabs>
          <w:tab w:val="left" w:pos="5245"/>
        </w:tabs>
        <w:ind w:right="-284"/>
        <w:outlineLvl w:val="2"/>
      </w:pPr>
    </w:p>
    <w:p w:rsidR="00546512" w:rsidRDefault="00546512" w:rsidP="00546512">
      <w:pPr>
        <w:pStyle w:val="ConsPlusTitle"/>
        <w:tabs>
          <w:tab w:val="left" w:pos="5245"/>
        </w:tabs>
        <w:ind w:right="-284"/>
        <w:outlineLvl w:val="2"/>
      </w:pPr>
    </w:p>
    <w:p w:rsidR="00546512" w:rsidRDefault="00830684" w:rsidP="00546512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546512">
        <w:rPr>
          <w:sz w:val="28"/>
          <w:szCs w:val="28"/>
        </w:rPr>
        <w:t xml:space="preserve">иректор департамента муниципальной </w:t>
      </w:r>
    </w:p>
    <w:p w:rsidR="00546512" w:rsidRDefault="00546512" w:rsidP="00546512">
      <w:pPr>
        <w:rPr>
          <w:sz w:val="28"/>
          <w:szCs w:val="28"/>
        </w:rPr>
      </w:pPr>
      <w:r>
        <w:rPr>
          <w:sz w:val="28"/>
          <w:szCs w:val="28"/>
        </w:rPr>
        <w:t xml:space="preserve">собственности и городских земель </w:t>
      </w:r>
    </w:p>
    <w:p w:rsidR="009A2ECE" w:rsidRDefault="00546512" w:rsidP="0054651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546512" w:rsidRPr="009A2ECE" w:rsidRDefault="00546512" w:rsidP="009A2ECE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Pr="009A2ECE">
        <w:rPr>
          <w:sz w:val="28"/>
          <w:szCs w:val="28"/>
        </w:rPr>
        <w:t xml:space="preserve">город Краснодар                               </w:t>
      </w:r>
      <w:r w:rsidR="006D1956" w:rsidRPr="009A2ECE">
        <w:rPr>
          <w:sz w:val="28"/>
          <w:szCs w:val="28"/>
        </w:rPr>
        <w:t xml:space="preserve">                   </w:t>
      </w:r>
      <w:r w:rsidR="00D40E93">
        <w:rPr>
          <w:sz w:val="28"/>
          <w:szCs w:val="28"/>
        </w:rPr>
        <w:t xml:space="preserve">       </w:t>
      </w:r>
      <w:r w:rsidR="006D1956" w:rsidRPr="009A2ECE">
        <w:rPr>
          <w:sz w:val="28"/>
          <w:szCs w:val="28"/>
        </w:rPr>
        <w:t xml:space="preserve">       </w:t>
      </w:r>
      <w:proofErr w:type="spellStart"/>
      <w:r w:rsidR="00D40E93">
        <w:rPr>
          <w:sz w:val="28"/>
          <w:szCs w:val="28"/>
        </w:rPr>
        <w:t>А.Н.Губский</w:t>
      </w:r>
      <w:proofErr w:type="spellEnd"/>
    </w:p>
    <w:p w:rsidR="00546512" w:rsidRDefault="00546512" w:rsidP="00546512">
      <w:pPr>
        <w:pStyle w:val="ConsPlusTitle"/>
        <w:tabs>
          <w:tab w:val="left" w:pos="5245"/>
        </w:tabs>
        <w:ind w:right="-284"/>
        <w:outlineLvl w:val="2"/>
      </w:pPr>
    </w:p>
    <w:p w:rsidR="00C82656" w:rsidRPr="001315DB" w:rsidRDefault="00C82656" w:rsidP="00C82656">
      <w:pPr>
        <w:pStyle w:val="ConsPlusTitle"/>
        <w:tabs>
          <w:tab w:val="left" w:pos="5245"/>
        </w:tabs>
        <w:ind w:right="-284" w:firstLine="709"/>
        <w:jc w:val="center"/>
        <w:outlineLvl w:val="2"/>
      </w:pPr>
    </w:p>
    <w:p w:rsidR="00C82656" w:rsidRDefault="00C82656" w:rsidP="00C82656">
      <w:pPr>
        <w:pStyle w:val="ConsPlusNormal"/>
        <w:tabs>
          <w:tab w:val="left" w:pos="5245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1552C" w:rsidRDefault="00A1552C"/>
    <w:sectPr w:rsidR="00A1552C" w:rsidSect="00CD6751">
      <w:headerReference w:type="even" r:id="rId7"/>
      <w:headerReference w:type="default" r:id="rId8"/>
      <w:headerReference w:type="first" r:id="rId9"/>
      <w:pgSz w:w="11906" w:h="16838"/>
      <w:pgMar w:top="1134" w:right="567" w:bottom="1079" w:left="1701" w:header="709" w:footer="709" w:gutter="0"/>
      <w:pgNumType w:start="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45" w:rsidRDefault="00531345">
      <w:r>
        <w:separator/>
      </w:r>
    </w:p>
  </w:endnote>
  <w:endnote w:type="continuationSeparator" w:id="0">
    <w:p w:rsidR="00531345" w:rsidRDefault="0053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45" w:rsidRDefault="00531345">
      <w:r>
        <w:separator/>
      </w:r>
    </w:p>
  </w:footnote>
  <w:footnote w:type="continuationSeparator" w:id="0">
    <w:p w:rsidR="00531345" w:rsidRDefault="0053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8" w:rsidRDefault="00C82656" w:rsidP="00E32C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04E8" w:rsidRDefault="005313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8" w:rsidRPr="00736658" w:rsidRDefault="00784F27" w:rsidP="00E32CC6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t>2</w:t>
    </w:r>
  </w:p>
  <w:p w:rsidR="005104E8" w:rsidRDefault="0053134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12" w:rsidRDefault="00546512">
    <w:pPr>
      <w:pStyle w:val="a3"/>
      <w:jc w:val="center"/>
    </w:pPr>
  </w:p>
  <w:p w:rsidR="00546512" w:rsidRDefault="005465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56"/>
    <w:rsid w:val="00046764"/>
    <w:rsid w:val="000F6F91"/>
    <w:rsid w:val="0014561B"/>
    <w:rsid w:val="001B45AC"/>
    <w:rsid w:val="002D113F"/>
    <w:rsid w:val="00375191"/>
    <w:rsid w:val="00426A2D"/>
    <w:rsid w:val="0046400E"/>
    <w:rsid w:val="004B1242"/>
    <w:rsid w:val="00511F4C"/>
    <w:rsid w:val="005154F0"/>
    <w:rsid w:val="00531345"/>
    <w:rsid w:val="00546512"/>
    <w:rsid w:val="00574DF1"/>
    <w:rsid w:val="00593056"/>
    <w:rsid w:val="00693208"/>
    <w:rsid w:val="006D1956"/>
    <w:rsid w:val="006F31F2"/>
    <w:rsid w:val="00724B36"/>
    <w:rsid w:val="00784F27"/>
    <w:rsid w:val="00786168"/>
    <w:rsid w:val="007A20B4"/>
    <w:rsid w:val="007F3406"/>
    <w:rsid w:val="00830684"/>
    <w:rsid w:val="00855551"/>
    <w:rsid w:val="0088243C"/>
    <w:rsid w:val="0091243C"/>
    <w:rsid w:val="0099785A"/>
    <w:rsid w:val="009A2ECE"/>
    <w:rsid w:val="009A31F3"/>
    <w:rsid w:val="00A1552C"/>
    <w:rsid w:val="00A90943"/>
    <w:rsid w:val="00AC43E7"/>
    <w:rsid w:val="00AF2237"/>
    <w:rsid w:val="00B92B93"/>
    <w:rsid w:val="00BA0F33"/>
    <w:rsid w:val="00BE72A2"/>
    <w:rsid w:val="00C82656"/>
    <w:rsid w:val="00CD6751"/>
    <w:rsid w:val="00D40E93"/>
    <w:rsid w:val="00DB053B"/>
    <w:rsid w:val="00E4283C"/>
    <w:rsid w:val="00E44824"/>
    <w:rsid w:val="00E76BCB"/>
    <w:rsid w:val="00E94656"/>
    <w:rsid w:val="00E95044"/>
    <w:rsid w:val="00EC6B7F"/>
    <w:rsid w:val="00ED05D0"/>
    <w:rsid w:val="00ED2B3F"/>
    <w:rsid w:val="00F51D5F"/>
    <w:rsid w:val="00F7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249D"/>
  <w15:chartTrackingRefBased/>
  <w15:docId w15:val="{406FD619-6AD7-4AF3-B10E-45822391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6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826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26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82656"/>
  </w:style>
  <w:style w:type="paragraph" w:customStyle="1" w:styleId="ConsPlusTitle">
    <w:name w:val="ConsPlusTitle"/>
    <w:rsid w:val="00C82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465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6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9785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1D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1D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Ткаченко Е.В.</cp:lastModifiedBy>
  <cp:revision>12</cp:revision>
  <cp:lastPrinted>2023-02-27T15:32:00Z</cp:lastPrinted>
  <dcterms:created xsi:type="dcterms:W3CDTF">2023-01-16T15:42:00Z</dcterms:created>
  <dcterms:modified xsi:type="dcterms:W3CDTF">2024-07-01T16:10:00Z</dcterms:modified>
</cp:coreProperties>
</file>