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Cash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out</w:t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8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Cash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услуга, позволяющая держателям </w:t>
      </w:r>
      <w:r>
        <w:rPr>
          <w:rFonts w:ascii="Times New Roman" w:hAnsi="Times New Roman" w:cs="Times New Roman"/>
          <w:sz w:val="24"/>
          <w:szCs w:val="24"/>
        </w:rPr>
        <w:t xml:space="preserve">платежных </w:t>
      </w:r>
      <w:r>
        <w:rPr>
          <w:rFonts w:ascii="Times New Roman" w:hAnsi="Times New Roman" w:cs="Times New Roman"/>
          <w:sz w:val="24"/>
          <w:szCs w:val="24"/>
        </w:rPr>
        <w:t xml:space="preserve">карт получать наличные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на кассе в торгово-сервисных предприятиях.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Предпосылки создания сервиса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Cash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Недостаточная развитость платежной инфраструктуры, особенно в отдаленных и малонаселенных территориях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возможности у населения снятия наличных денежных средств с платежной карты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Преимущества сервиса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ash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out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99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БПА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населения</w:t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потока клиентов - рост продаж  </w:t>
            </w:r>
            <w:r/>
          </w:p>
          <w:p>
            <w:pPr>
              <w:pStyle w:val="698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снижение ставки по договору Эквайринга </w:t>
            </w:r>
            <w:r/>
          </w:p>
          <w:p>
            <w:pPr>
              <w:pStyle w:val="698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сервис - конкурентное преимущество</w:t>
            </w:r>
            <w:r/>
          </w:p>
          <w:p>
            <w:pPr>
              <w:pStyle w:val="698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денег на р/сч в режиме 24/7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698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базового набора финансовых услуг</w:t>
            </w:r>
            <w:r/>
          </w:p>
          <w:p>
            <w:pPr>
              <w:pStyle w:val="698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технологиями </w:t>
            </w:r>
            <w:r/>
          </w:p>
          <w:p>
            <w:pPr>
              <w:pStyle w:val="698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финансовой грамотности</w:t>
            </w:r>
            <w:r/>
          </w:p>
          <w:p>
            <w:pPr>
              <w:pStyle w:val="698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Нормативное 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письмо</w:t>
      </w:r>
      <w:r>
        <w:rPr>
          <w:rFonts w:ascii="Times New Roman" w:hAnsi="Times New Roman" w:cs="Times New Roman"/>
          <w:sz w:val="24"/>
          <w:szCs w:val="24"/>
        </w:rPr>
        <w:t xml:space="preserve"> Банка России </w:t>
      </w:r>
      <w:r>
        <w:rPr>
          <w:rFonts w:ascii="Times New Roman" w:hAnsi="Times New Roman" w:cs="Times New Roman"/>
          <w:sz w:val="24"/>
          <w:szCs w:val="24"/>
        </w:rPr>
        <w:t xml:space="preserve">от 3 ноября 2020 г. № </w:t>
      </w:r>
      <w:r>
        <w:rPr>
          <w:rFonts w:ascii="Times New Roman" w:hAnsi="Times New Roman" w:cs="Times New Roman"/>
          <w:sz w:val="24"/>
          <w:szCs w:val="24"/>
        </w:rPr>
        <w:t xml:space="preserve">ИН-06-59/157</w:t>
      </w:r>
      <w:r>
        <w:rPr>
          <w:rFonts w:ascii="Times New Roman" w:hAnsi="Times New Roman" w:cs="Times New Roman"/>
          <w:sz w:val="24"/>
          <w:szCs w:val="24"/>
        </w:rPr>
        <w:t xml:space="preserve"> (приложение </w:t>
      </w:r>
      <w:r>
        <w:rPr>
          <w:rFonts w:ascii="Times New Roman" w:hAnsi="Times New Roman" w:cs="Times New Roman"/>
          <w:sz w:val="24"/>
          <w:szCs w:val="24"/>
        </w:rPr>
        <w:t xml:space="preserve">3)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положения информационного письма:</w:t>
      </w:r>
      <w:r/>
    </w:p>
    <w:p>
      <w:pPr>
        <w:ind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8"/>
        <w:numPr>
          <w:ilvl w:val="0"/>
          <w:numId w:val="7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Ежедневный лимит выдачи наличных денег по оп</w:t>
      </w:r>
      <w:r>
        <w:rPr>
          <w:rFonts w:ascii="Times New Roman" w:hAnsi="Times New Roman" w:cs="Times New Roman"/>
          <w:sz w:val="24"/>
          <w:szCs w:val="24"/>
        </w:rPr>
        <w:t xml:space="preserve">ерациям cash-out не превышает 5 </w:t>
      </w:r>
      <w:r>
        <w:rPr>
          <w:rFonts w:ascii="Times New Roman" w:hAnsi="Times New Roman" w:cs="Times New Roman"/>
          <w:sz w:val="24"/>
          <w:szCs w:val="24"/>
        </w:rPr>
        <w:t xml:space="preserve">000 рублей</w:t>
      </w:r>
      <w:r>
        <w:rPr>
          <w:rFonts w:ascii="Times New Roman" w:hAnsi="Times New Roman" w:cs="Times New Roman"/>
          <w:sz w:val="24"/>
          <w:szCs w:val="24"/>
        </w:rPr>
        <w:t xml:space="preserve"> (совокупно для всех карт физического лица, открытых в кредитной организации - эмитенте)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98"/>
        <w:numPr>
          <w:ilvl w:val="0"/>
          <w:numId w:val="7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Ежемесячный лимит выдачи наличных денег по опе</w:t>
      </w:r>
      <w:r>
        <w:rPr>
          <w:rFonts w:ascii="Times New Roman" w:hAnsi="Times New Roman" w:cs="Times New Roman"/>
          <w:sz w:val="24"/>
          <w:szCs w:val="24"/>
        </w:rPr>
        <w:t xml:space="preserve">рациям cash-out не превышает 30 </w:t>
      </w:r>
      <w:r>
        <w:rPr>
          <w:rFonts w:ascii="Times New Roman" w:hAnsi="Times New Roman" w:cs="Times New Roman"/>
          <w:sz w:val="24"/>
          <w:szCs w:val="24"/>
        </w:rPr>
        <w:t xml:space="preserve">000 рублей</w:t>
      </w:r>
      <w:r>
        <w:rPr>
          <w:rFonts w:ascii="Times New Roman" w:hAnsi="Times New Roman" w:cs="Times New Roman"/>
          <w:sz w:val="24"/>
          <w:szCs w:val="24"/>
        </w:rPr>
        <w:t xml:space="preserve"> (совокупно для всех карт физического лица, открытых в кредитной организации - эмитенте)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98"/>
        <w:numPr>
          <w:ilvl w:val="0"/>
          <w:numId w:val="7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ыдача наличных денег производится при условии покупки держателем платежной карты товара или услуги в ТСП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98"/>
        <w:numPr>
          <w:ilvl w:val="0"/>
          <w:numId w:val="7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слуга предоставляется только физическим лицам. По корпоративным платежным картам юридических лиц и индивидуальных предпринимателей усл</w:t>
      </w:r>
      <w:r>
        <w:rPr>
          <w:rFonts w:ascii="Times New Roman" w:hAnsi="Times New Roman" w:cs="Times New Roman"/>
          <w:sz w:val="24"/>
          <w:szCs w:val="24"/>
        </w:rPr>
        <w:t xml:space="preserve">уга cash-out не предоставляется;</w:t>
      </w:r>
      <w:r/>
    </w:p>
    <w:p>
      <w:pPr>
        <w:pStyle w:val="698"/>
        <w:numPr>
          <w:ilvl w:val="0"/>
          <w:numId w:val="7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совершении операции cash-out не требуется предоставление физическим лицом - держателем платежной карты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тельных документов и информации;</w:t>
      </w:r>
      <w:r/>
    </w:p>
    <w:p>
      <w:pPr>
        <w:pStyle w:val="698"/>
        <w:numPr>
          <w:ilvl w:val="0"/>
          <w:numId w:val="7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подтверждение совершения операции по выдаче наличных денег с банковского счета клиента в ТСП выдается кассовый чек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98"/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8"/>
        <w:ind w:left="0"/>
        <w:jc w:val="both"/>
        <w:spacing w:after="0"/>
        <w:rPr>
          <w:rFonts w:ascii="Times New Roman" w:hAnsi="Times New Roman" w:cs="Times New Roman" w:eastAsia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Динамика развития сервиса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val="en-US" w:eastAsia="ru-RU"/>
        </w:rPr>
        <w:t xml:space="preserve">Cash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val="en-US" w:eastAsia="ru-RU"/>
        </w:rPr>
        <w:t xml:space="preserve">out</w:t>
      </w:r>
      <w:r/>
    </w:p>
    <w:p>
      <w:pPr>
        <w:pStyle w:val="698"/>
        <w:ind w:left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99"/>
        <w:tblW w:w="9356" w:type="dxa"/>
        <w:tblInd w:w="108" w:type="dxa"/>
        <w:tblLook w:val="04A0" w:firstRow="1" w:lastRow="0" w:firstColumn="1" w:lastColumn="0" w:noHBand="0" w:noVBand="1"/>
      </w:tblPr>
      <w:tblGrid>
        <w:gridCol w:w="1207"/>
        <w:gridCol w:w="2479"/>
        <w:gridCol w:w="3402"/>
        <w:gridCol w:w="2268"/>
      </w:tblGrid>
      <w:tr>
        <w:trPr/>
        <w:tc>
          <w:tcPr>
            <w:tcW w:w="1207" w:type="dxa"/>
            <w:textDirection w:val="lrTb"/>
            <w:noWrap w:val="false"/>
          </w:tcPr>
          <w:p>
            <w:pPr>
              <w:spacing w:after="100" w:afterAutospacing="1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Отчетная дата</w:t>
            </w:r>
            <w:r/>
          </w:p>
        </w:tc>
        <w:tc>
          <w:tcPr>
            <w:tcW w:w="2479" w:type="dxa"/>
            <w:textDirection w:val="lrTb"/>
            <w:noWrap w:val="false"/>
          </w:tcPr>
          <w:p>
            <w:pPr>
              <w:spacing w:after="100" w:afterAutospacing="1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операций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00" w:afterAutospacing="1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Сумма выданных наличных денежных средств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точек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Cash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out</w:t>
            </w:r>
            <w:r/>
          </w:p>
        </w:tc>
      </w:tr>
      <w:tr>
        <w:trPr/>
        <w:tc>
          <w:tcPr>
            <w:tcW w:w="1207" w:type="dxa"/>
            <w:textDirection w:val="lrTb"/>
            <w:noWrap w:val="false"/>
          </w:tcPr>
          <w:p>
            <w:pPr>
              <w:spacing w:after="100" w:afterAutospacing="1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01.10.2020</w:t>
            </w:r>
            <w:r/>
          </w:p>
        </w:tc>
        <w:tc>
          <w:tcPr>
            <w:tcW w:w="2479" w:type="dxa"/>
            <w:textDirection w:val="lrTb"/>
            <w:noWrap w:val="false"/>
          </w:tcPr>
          <w:p>
            <w:pPr>
              <w:spacing w:after="100" w:afterAutospacing="1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13 107 ед. 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00" w:afterAutospacing="1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24 694,85 тыс. руб.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100" w:afterAutospacing="1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161</w:t>
            </w:r>
            <w:r/>
          </w:p>
        </w:tc>
      </w:tr>
      <w:tr>
        <w:trPr/>
        <w:tc>
          <w:tcPr>
            <w:tcW w:w="1207" w:type="dxa"/>
            <w:textDirection w:val="lrTb"/>
            <w:noWrap w:val="false"/>
          </w:tcPr>
          <w:p>
            <w:pPr>
              <w:spacing w:after="100" w:afterAutospacing="1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01.10.2021</w:t>
            </w:r>
            <w:r/>
          </w:p>
        </w:tc>
        <w:tc>
          <w:tcPr>
            <w:tcW w:w="2479" w:type="dxa"/>
            <w:textDirection w:val="lrTb"/>
            <w:noWrap w:val="false"/>
          </w:tcPr>
          <w:p>
            <w:pPr>
              <w:spacing w:after="100" w:afterAutospacing="1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17 302 ед. (+32,0 %)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00" w:afterAutospacing="1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30 147,79 тыс. руб. (+22,1 %)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100" w:afterAutospacing="1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  <w:t xml:space="preserve">335</w:t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ДЛЯ БПА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Банковскому платежному агенту</w:t>
      </w:r>
      <w:r>
        <w:rPr>
          <w:rStyle w:val="706"/>
          <w:rFonts w:ascii="Times New Roman" w:hAnsi="Times New Roman" w:cs="Times New Roman"/>
          <w:b/>
          <w:bCs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</w:t>
      </w:r>
      <w:r/>
    </w:p>
    <w:p>
      <w:pPr>
        <w:pStyle w:val="698"/>
        <w:numPr>
          <w:ilvl w:val="0"/>
          <w:numId w:val="7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налогообложения предприятия: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УСН</w:t>
      </w:r>
      <w:r>
        <w:rPr>
          <w:rFonts w:ascii="Times New Roman" w:hAnsi="Times New Roman" w:cs="Times New Roman"/>
          <w:vertAlign w:val="superscript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и ОСН</w:t>
      </w:r>
      <w:r>
        <w:rPr>
          <w:rFonts w:ascii="Times New Roman" w:hAnsi="Times New Roman" w:cs="Times New Roman"/>
          <w:vertAlign w:val="superscript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(необходимо 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с кредитной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98"/>
        <w:numPr>
          <w:ilvl w:val="0"/>
          <w:numId w:val="7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 xml:space="preserve">расчетного счета </w:t>
      </w:r>
      <w:r>
        <w:rPr>
          <w:rFonts w:ascii="Times New Roman" w:hAnsi="Times New Roman" w:cs="Times New Roman"/>
          <w:sz w:val="24"/>
          <w:szCs w:val="24"/>
        </w:rPr>
        <w:t xml:space="preserve">в банке, в котором планируется подключить</w:t>
      </w:r>
      <w:r>
        <w:rPr>
          <w:rFonts w:ascii="Times New Roman" w:hAnsi="Times New Roman" w:cs="Times New Roman"/>
          <w:sz w:val="24"/>
          <w:szCs w:val="24"/>
        </w:rPr>
        <w:t xml:space="preserve">ся к</w:t>
      </w:r>
      <w:r>
        <w:rPr>
          <w:rFonts w:ascii="Times New Roman" w:hAnsi="Times New Roman" w:cs="Times New Roman"/>
          <w:sz w:val="24"/>
          <w:szCs w:val="24"/>
        </w:rPr>
        <w:t xml:space="preserve"> сервис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Cash-out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98"/>
        <w:numPr>
          <w:ilvl w:val="0"/>
          <w:numId w:val="7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эквайрингового обслуживания в кредитной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в которо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подключиться к сервису Cash-out;</w:t>
      </w:r>
      <w:r/>
    </w:p>
    <w:p>
      <w:pPr>
        <w:pStyle w:val="698"/>
        <w:numPr>
          <w:ilvl w:val="0"/>
          <w:numId w:val="7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Кассовое оборудование </w:t>
      </w:r>
      <w:r>
        <w:rPr>
          <w:rFonts w:ascii="Times New Roman" w:hAnsi="Times New Roman" w:cs="Times New Roman"/>
          <w:sz w:val="24"/>
          <w:szCs w:val="24"/>
        </w:rPr>
        <w:t xml:space="preserve">должно соответствовать тре</w:t>
      </w:r>
      <w:r>
        <w:rPr>
          <w:rFonts w:ascii="Times New Roman" w:hAnsi="Times New Roman" w:cs="Times New Roman"/>
          <w:sz w:val="24"/>
          <w:szCs w:val="24"/>
        </w:rPr>
        <w:t xml:space="preserve">бованиям кредитной организации;</w:t>
      </w:r>
      <w:r/>
    </w:p>
    <w:p>
      <w:pPr>
        <w:pStyle w:val="698"/>
        <w:numPr>
          <w:ilvl w:val="0"/>
          <w:numId w:val="7"/>
        </w:numPr>
        <w:ind w:left="0" w:firstLine="36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Устойчивая связь </w:t>
      </w:r>
      <w:r>
        <w:rPr>
          <w:rFonts w:ascii="Times New Roman" w:hAnsi="Times New Roman" w:cs="Times New Roman"/>
          <w:sz w:val="24"/>
          <w:szCs w:val="24"/>
        </w:rPr>
        <w:t xml:space="preserve">Интернет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подключить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ТСП необходимо заключить с кредитной организацией дополнительное соглашение к договору эквайринга, регулирующее услугу выдачи наличных денежных средств при совершении покупки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Учет выданных средств с использованием сервиса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Cash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out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операции «Наличные с покупкой» представляет собой денежный перевод, то есть </w:t>
      </w:r>
      <w:r>
        <w:rPr>
          <w:rFonts w:ascii="Times New Roman" w:hAnsi="Times New Roman" w:cs="Times New Roman"/>
          <w:sz w:val="24"/>
          <w:szCs w:val="24"/>
        </w:rPr>
        <w:t xml:space="preserve">банковскую операцию, в связи с чем данная сумма не должна включаться в состав доходов/расходов по налогу на прибыль у ТСП и эквайрера, и на эту сумму не начисляется НДС (Пункт 1 статьи 38, подпункт 1 пункта 3 статьи 39, пункт 1 статьи 41, подпункт 1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 пункт 2 статьи 146 НК РФ, пункт 1 статьи 247 НК РФ).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ДЛЯ ПОТРЕБИТЕЛЯ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узнать, что в торговой точке действует сервис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Cash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out</w:t>
      </w:r>
      <w:r>
        <w:rPr>
          <w:rFonts w:ascii="Times New Roman" w:hAnsi="Times New Roman" w:cs="Times New Roman"/>
          <w:b/>
          <w:sz w:val="24"/>
          <w:szCs w:val="24"/>
        </w:rPr>
        <w:t xml:space="preserve">?</w:t>
      </w:r>
      <w:r/>
    </w:p>
    <w:p>
      <w:pPr>
        <w:jc w:val="both"/>
        <w:spacing w:lineRule="auto" w:line="240" w:after="100" w:afterAutospacing="1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Обычно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торгово-сервисные предприятия, подключенные к сервису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Cash-out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размещают специальные информационные наклейки на кассах. Если стикера нет, можно спросить у продавца,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возможно ли получить наличные денежные средства с платежной карты вместе с покупкой. </w:t>
      </w:r>
      <w:r/>
    </w:p>
    <w:p>
      <w:pPr>
        <w:jc w:val="both"/>
        <w:spacing w:lineRule="auto" w:line="240" w:after="100" w:afterAutospacing="1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Cash-out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 действует для всех карт?</w:t>
      </w:r>
      <w:r/>
    </w:p>
    <w:p>
      <w:pPr>
        <w:jc w:val="both"/>
        <w:spacing w:lineRule="auto" w:line="240" w:after="100" w:afterAutospacing="1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Многие кредитные организации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уже настроили такую опцию для своих дебетовых карт,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однако для кредитных карт в настоящее время сервис не доступен. </w:t>
      </w:r>
      <w:r/>
    </w:p>
    <w:p>
      <w:pPr>
        <w:jc w:val="both"/>
        <w:spacing w:lineRule="auto" w:line="240" w:after="100" w:afterAutospacing="1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Торговые точки не берут с покупателей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комиссию за выдачу наличных, однако кредитной организацией может быть установлен тариф за использование услугой. Соответствующую информацию можно получить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 телефону горячей линии, на официальном сайте или в чате мобильного приложения банка.</w:t>
      </w:r>
      <w:r/>
    </w:p>
    <w:p>
      <w:pPr>
        <w:jc w:val="both"/>
        <w:spacing w:lineRule="auto" w:line="240" w:after="100" w:afterAutospacing="1"/>
        <w:shd w:val="clear" w:fill="FFFFFF" w:color="auto"/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lang w:eastAsia="ru-RU"/>
        </w:rPr>
        <w:t xml:space="preserve">Как снять деньги с карты через кассу магазина?</w:t>
      </w:r>
      <w:r/>
    </w:p>
    <w:p>
      <w:pPr>
        <w:jc w:val="both"/>
        <w:spacing w:lineRule="auto" w:line="240" w:after="100" w:afterAutospacing="1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Уточните у работника, предоставляется ли в торговой точке услуга по выдаче наличных денежных средств из кассы магазина. Если сервис доступен, выполните следующие действия:</w:t>
      </w:r>
      <w:r/>
    </w:p>
    <w:p>
      <w:pPr>
        <w:jc w:val="both"/>
        <w:spacing w:lineRule="auto" w:line="240" w:after="100" w:afterAutospacing="1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Перед оплатой покупки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сообщите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кассиру о том, что хотели бы снять определенную сумму с карты наличными.</w:t>
      </w:r>
      <w:r/>
    </w:p>
    <w:p>
      <w:pPr>
        <w:jc w:val="both"/>
        <w:spacing w:lineRule="auto" w:line="240" w:after="100" w:afterAutospacing="1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2. 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Продаве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ц проверит, есть ли в кассе нужная сумма денежных средств необходимых номиналов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Если таков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име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ется,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 чек будет добавлена сумма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которую вы хотите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снять с платежной карты. </w:t>
      </w:r>
      <w:r/>
    </w:p>
    <w:p>
      <w:pPr>
        <w:jc w:val="both"/>
        <w:spacing w:lineRule="auto" w:line="240" w:after="100" w:afterAutospacing="1"/>
        <w:shd w:val="clear" w:fill="FFFFFF" w:color="auto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3. 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Расплатитесь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платежной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картой как обычно или воспользуйтесь цифровой картой в смартфоне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(токенизированным образом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карты)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— такая возможность сервисом тоже предусмотрена. С вашего счета одновременно спишутся стоимость товаров и сумма наличных.</w:t>
      </w:r>
      <w:r/>
    </w:p>
    <w:p>
      <w:pPr>
        <w:jc w:val="both"/>
        <w:spacing w:lineRule="auto" w:line="240" w:after="100" w:afterAutospacing="1"/>
        <w:shd w:val="clear" w:fill="FFFFFF" w:color="auto"/>
        <w:widowControl w:val="o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4. 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Кассир выдаст вам деньги.</w:t>
      </w:r>
      <w:r/>
    </w:p>
    <w:p>
      <w:pPr>
        <w:jc w:val="both"/>
        <w:spacing w:lineRule="auto" w:line="240" w:after="100" w:afterAutospacing="1"/>
        <w:shd w:val="clear" w:fill="FFFFFF" w:color="auto"/>
        <w:widowControl w:val="off"/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Покупателю необходимо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заранее удостовериться, что на банковском счете достаточно средств. В магазине, в отличие от банкомата, проверить баланс карты не получится.</w:t>
      </w:r>
      <w:r/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  <w:footnote w:id="2">
    <w:p>
      <w:pPr>
        <w:pStyle w:val="704"/>
        <w:ind w:firstLine="708"/>
        <w:jc w:val="both"/>
      </w:pPr>
      <w:r>
        <w:rPr>
          <w:rStyle w:val="70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писок требований является примерным и может меняться в зависимости от кредитной организации. Полный перечень требований </w:t>
      </w:r>
      <w:r>
        <w:rPr>
          <w:rFonts w:ascii="Times New Roman" w:hAnsi="Times New Roman" w:cs="Times New Roman"/>
        </w:rPr>
        <w:t xml:space="preserve">необходимо уточнять в кредитной организации. </w:t>
      </w:r>
      <w:r/>
    </w:p>
  </w:footnote>
  <w:footnote w:id="3">
    <w:p>
      <w:pPr>
        <w:pStyle w:val="704"/>
        <w:ind w:firstLine="708"/>
        <w:jc w:val="both"/>
        <w:rPr>
          <w:rFonts w:ascii="Times New Roman" w:hAnsi="Times New Roman" w:cs="Times New Roman"/>
        </w:rPr>
      </w:pPr>
      <w:r>
        <w:rPr>
          <w:rStyle w:val="70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Упрощенная система налогообложения</w:t>
      </w:r>
      <w:r>
        <w:rPr>
          <w:rFonts w:ascii="Times New Roman" w:hAnsi="Times New Roman" w:cs="Times New Roman"/>
        </w:rPr>
        <w:t xml:space="preserve"> (один из налоговых режимов, который подразумевает особый порядок уплаты налогов и ориентирован на представит</w:t>
      </w:r>
      <w:r>
        <w:rPr>
          <w:rFonts w:ascii="Times New Roman" w:hAnsi="Times New Roman" w:cs="Times New Roman"/>
        </w:rPr>
        <w:t xml:space="preserve">елей малого и среднего бизнеса).</w:t>
      </w:r>
      <w:r/>
    </w:p>
  </w:footnote>
  <w:footnote w:id="4"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0"/>
          <w:szCs w:val="20"/>
        </w:rPr>
      </w:pPr>
      <w:r>
        <w:rPr>
          <w:rStyle w:val="70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Общая система налогообложения</w:t>
      </w:r>
      <w:r>
        <w:rPr>
          <w:rFonts w:ascii="Times New Roman" w:hAnsi="Times New Roman" w:cs="Times New Roman"/>
          <w:sz w:val="20"/>
          <w:szCs w:val="20"/>
        </w:rPr>
        <w:t xml:space="preserve"> (налоговый режим «по умолчанию»</w:t>
      </w:r>
      <w:r>
        <w:rPr>
          <w:rFonts w:ascii="Times New Roman" w:hAnsi="Times New Roman" w:cs="Times New Roman"/>
          <w:sz w:val="20"/>
          <w:szCs w:val="20"/>
        </w:rPr>
        <w:t xml:space="preserve">. Его применяют все, кто не заявил о переходе на специальный налоговый режим)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/>
    </w:p>
    <w:p>
      <w:pPr>
        <w:pStyle w:val="704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Arial" w:hAnsi="Arial"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Arial" w:hAnsi="Arial"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Arial" w:hAnsi="Arial"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Arial" w:hAnsi="Arial"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Arial" w:hAnsi="Arial"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Arial" w:hAnsi="Arial"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Arial" w:hAnsi="Arial"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Arial" w:hAnsi="Arial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Arial" w:hAnsi="Arial"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Arial" w:hAnsi="Arial"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Arial" w:hAnsi="Arial"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Arial" w:hAnsi="Arial"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Arial" w:hAnsi="Arial"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Arial" w:hAnsi="Arial"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Arial" w:hAnsi="Arial"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Arial" w:hAnsi="Arial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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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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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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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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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92"/>
    <w:link w:val="69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90"/>
    <w:next w:val="69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9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90"/>
    <w:next w:val="69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9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90"/>
    <w:next w:val="69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9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90"/>
    <w:next w:val="69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9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0"/>
    <w:next w:val="69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9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0"/>
    <w:next w:val="69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9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0"/>
    <w:next w:val="69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9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0"/>
    <w:next w:val="69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9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90"/>
    <w:next w:val="69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92"/>
    <w:link w:val="32"/>
    <w:uiPriority w:val="10"/>
    <w:rPr>
      <w:sz w:val="48"/>
      <w:szCs w:val="48"/>
    </w:rPr>
  </w:style>
  <w:style w:type="character" w:styleId="35">
    <w:name w:val="Subtitle Char"/>
    <w:basedOn w:val="692"/>
    <w:link w:val="695"/>
    <w:uiPriority w:val="11"/>
    <w:rPr>
      <w:sz w:val="24"/>
      <w:szCs w:val="24"/>
    </w:rPr>
  </w:style>
  <w:style w:type="paragraph" w:styleId="36">
    <w:name w:val="Quote"/>
    <w:basedOn w:val="690"/>
    <w:next w:val="69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0"/>
    <w:next w:val="69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9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92"/>
    <w:link w:val="40"/>
    <w:uiPriority w:val="99"/>
  </w:style>
  <w:style w:type="paragraph" w:styleId="42">
    <w:name w:val="Footer"/>
    <w:basedOn w:val="69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92"/>
    <w:link w:val="42"/>
    <w:uiPriority w:val="99"/>
  </w:style>
  <w:style w:type="paragraph" w:styleId="44">
    <w:name w:val="Caption"/>
    <w:basedOn w:val="690"/>
    <w:next w:val="69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9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9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9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9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9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9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9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9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9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9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9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9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704"/>
    <w:uiPriority w:val="99"/>
    <w:rPr>
      <w:sz w:val="18"/>
    </w:rPr>
  </w:style>
  <w:style w:type="paragraph" w:styleId="176">
    <w:name w:val="endnote text"/>
    <w:basedOn w:val="69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92"/>
    <w:uiPriority w:val="99"/>
    <w:semiHidden/>
    <w:unhideWhenUsed/>
    <w:rPr>
      <w:vertAlign w:val="superscript"/>
    </w:rPr>
  </w:style>
  <w:style w:type="paragraph" w:styleId="179">
    <w:name w:val="toc 1"/>
    <w:basedOn w:val="690"/>
    <w:next w:val="69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0"/>
    <w:next w:val="69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0"/>
    <w:next w:val="69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0"/>
    <w:next w:val="69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0"/>
    <w:next w:val="69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0"/>
    <w:next w:val="69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0"/>
    <w:next w:val="69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0"/>
    <w:next w:val="69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0"/>
    <w:next w:val="69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0"/>
    <w:next w:val="690"/>
    <w:uiPriority w:val="99"/>
    <w:unhideWhenUsed/>
    <w:pPr>
      <w:spacing w:after="0" w:afterAutospacing="0"/>
    </w:pPr>
  </w:style>
  <w:style w:type="paragraph" w:styleId="690" w:default="1">
    <w:name w:val="Normal"/>
    <w:qFormat/>
  </w:style>
  <w:style w:type="paragraph" w:styleId="691">
    <w:name w:val="Heading 1"/>
    <w:basedOn w:val="690"/>
    <w:next w:val="690"/>
    <w:link w:val="697"/>
    <w:qFormat/>
    <w:uiPriority w:val="9"/>
    <w:rPr>
      <w:rFonts w:ascii="Times New Roman" w:hAnsi="Times New Roman" w:eastAsiaTheme="majorEastAsia" w:cstheme="majorBidi"/>
      <w:b/>
      <w:color w:val="0D0D0D" w:themeColor="text1" w:themeTint="F2"/>
      <w:sz w:val="32"/>
      <w:szCs w:val="32"/>
    </w:rPr>
    <w:pPr>
      <w:keepLines/>
      <w:keepNext/>
      <w:spacing w:lineRule="auto" w:line="240" w:after="0" w:before="240"/>
      <w:outlineLvl w:val="0"/>
    </w:p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>
    <w:name w:val="Subtitle"/>
    <w:basedOn w:val="690"/>
    <w:next w:val="690"/>
    <w:link w:val="696"/>
    <w:qFormat/>
    <w:rPr>
      <w:rFonts w:eastAsiaTheme="majorEastAsia" w:cstheme="majorBidi"/>
      <w:iCs/>
      <w:spacing w:val="15"/>
      <w:sz w:val="28"/>
      <w:szCs w:val="24"/>
    </w:rPr>
    <w:pPr>
      <w:numPr>
        <w:ilvl w:val="1"/>
      </w:numPr>
      <w:spacing w:lineRule="auto" w:line="240" w:after="0"/>
    </w:pPr>
  </w:style>
  <w:style w:type="character" w:styleId="696" w:customStyle="1">
    <w:name w:val="Подзаголовок Знак"/>
    <w:basedOn w:val="692"/>
    <w:link w:val="695"/>
    <w:rPr>
      <w:rFonts w:eastAsiaTheme="majorEastAsia" w:cstheme="majorBidi"/>
      <w:iCs/>
      <w:spacing w:val="15"/>
      <w:sz w:val="28"/>
      <w:szCs w:val="24"/>
    </w:rPr>
  </w:style>
  <w:style w:type="character" w:styleId="697" w:customStyle="1">
    <w:name w:val="Заголовок 1 Знак"/>
    <w:basedOn w:val="692"/>
    <w:link w:val="691"/>
    <w:uiPriority w:val="9"/>
    <w:rPr>
      <w:rFonts w:ascii="Times New Roman" w:hAnsi="Times New Roman" w:eastAsiaTheme="majorEastAsia" w:cstheme="majorBidi"/>
      <w:b/>
      <w:color w:val="0D0D0D" w:themeColor="text1" w:themeTint="F2"/>
      <w:sz w:val="32"/>
      <w:szCs w:val="32"/>
    </w:rPr>
  </w:style>
  <w:style w:type="paragraph" w:styleId="698">
    <w:name w:val="List Paragraph"/>
    <w:basedOn w:val="690"/>
    <w:qFormat/>
    <w:uiPriority w:val="34"/>
    <w:pPr>
      <w:contextualSpacing w:val="true"/>
      <w:ind w:left="720"/>
    </w:pPr>
  </w:style>
  <w:style w:type="table" w:styleId="699">
    <w:name w:val="Table Grid"/>
    <w:basedOn w:val="693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00" w:customStyle="1">
    <w:name w:val="ConsPlusTitle"/>
    <w:rPr>
      <w:rFonts w:ascii="Calibri" w:hAnsi="Calibri" w:cs="Calibri" w:eastAsia="Times New Roman"/>
      <w:b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701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702">
    <w:name w:val="Balloon Text"/>
    <w:basedOn w:val="690"/>
    <w:link w:val="703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703" w:customStyle="1">
    <w:name w:val="Текст выноски Знак"/>
    <w:basedOn w:val="692"/>
    <w:link w:val="702"/>
    <w:uiPriority w:val="99"/>
    <w:semiHidden/>
    <w:rPr>
      <w:rFonts w:ascii="Segoe UI" w:hAnsi="Segoe UI" w:cs="Segoe UI"/>
      <w:sz w:val="18"/>
      <w:szCs w:val="18"/>
    </w:rPr>
  </w:style>
  <w:style w:type="paragraph" w:styleId="704">
    <w:name w:val="footnote text"/>
    <w:basedOn w:val="690"/>
    <w:link w:val="705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705" w:customStyle="1">
    <w:name w:val="Текст сноски Знак"/>
    <w:basedOn w:val="692"/>
    <w:link w:val="704"/>
    <w:uiPriority w:val="99"/>
    <w:semiHidden/>
    <w:rPr>
      <w:sz w:val="20"/>
      <w:szCs w:val="20"/>
    </w:rPr>
  </w:style>
  <w:style w:type="character" w:styleId="706">
    <w:name w:val="footnote reference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84913FF8-11B5-4DD4-9B7B-1CFBE69C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Р7-Офис/6.3.8002.0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Виолетта Витальевна</dc:creator>
  <cp:keywords/>
  <dc:description/>
  <cp:revision>18</cp:revision>
  <dcterms:created xsi:type="dcterms:W3CDTF">2021-11-17T13:40:00Z</dcterms:created>
  <dcterms:modified xsi:type="dcterms:W3CDTF">2023-02-21T08:56:44Z</dcterms:modified>
</cp:coreProperties>
</file>