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EE" w:rsidRDefault="00024F91" w:rsidP="00024F91">
      <w:pPr>
        <w:jc w:val="center"/>
        <w:rPr>
          <w:b/>
          <w:sz w:val="28"/>
          <w:szCs w:val="28"/>
        </w:rPr>
      </w:pPr>
      <w:r w:rsidRPr="00BC68EE">
        <w:rPr>
          <w:b/>
          <w:sz w:val="28"/>
          <w:szCs w:val="28"/>
        </w:rPr>
        <w:t xml:space="preserve">Свод проблем образовательных учреждений по системе </w:t>
      </w:r>
      <w:r w:rsidRPr="00BC68EE">
        <w:rPr>
          <w:b/>
          <w:sz w:val="28"/>
          <w:szCs w:val="28"/>
          <w:lang w:val="en-US"/>
        </w:rPr>
        <w:t>SQDCM</w:t>
      </w:r>
      <w:r w:rsidRPr="00BC68EE">
        <w:rPr>
          <w:b/>
          <w:sz w:val="28"/>
          <w:szCs w:val="28"/>
        </w:rPr>
        <w:t xml:space="preserve"> </w:t>
      </w:r>
    </w:p>
    <w:p w:rsidR="001D1238" w:rsidRPr="00BC68EE" w:rsidRDefault="00991586" w:rsidP="0002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(семинар от 19</w:t>
      </w:r>
      <w:r w:rsidR="00024F91" w:rsidRPr="00BC68EE">
        <w:rPr>
          <w:b/>
          <w:sz w:val="28"/>
          <w:szCs w:val="28"/>
        </w:rPr>
        <w:t xml:space="preserve"> июня)</w:t>
      </w:r>
    </w:p>
    <w:p w:rsidR="00024F91" w:rsidRDefault="00024F91" w:rsidP="00024F9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3752"/>
        <w:gridCol w:w="4096"/>
      </w:tblGrid>
      <w:tr w:rsidR="00024F91" w:rsidTr="000C1898">
        <w:tc>
          <w:tcPr>
            <w:tcW w:w="1497" w:type="dxa"/>
          </w:tcPr>
          <w:p w:rsidR="00024F91" w:rsidRPr="00B30BE6" w:rsidRDefault="00024F91" w:rsidP="00024F91">
            <w:pPr>
              <w:jc w:val="center"/>
              <w:rPr>
                <w:b/>
              </w:rPr>
            </w:pPr>
            <w:r w:rsidRPr="00B30BE6">
              <w:rPr>
                <w:b/>
              </w:rPr>
              <w:t>Направление</w:t>
            </w:r>
          </w:p>
        </w:tc>
        <w:tc>
          <w:tcPr>
            <w:tcW w:w="3752" w:type="dxa"/>
          </w:tcPr>
          <w:p w:rsidR="00024F91" w:rsidRPr="00B30BE6" w:rsidRDefault="00024F91" w:rsidP="00024F91">
            <w:pPr>
              <w:jc w:val="center"/>
              <w:rPr>
                <w:b/>
              </w:rPr>
            </w:pPr>
            <w:r w:rsidRPr="00B30BE6">
              <w:rPr>
                <w:b/>
              </w:rPr>
              <w:t>Проблемы/ потери</w:t>
            </w:r>
          </w:p>
        </w:tc>
        <w:tc>
          <w:tcPr>
            <w:tcW w:w="4096" w:type="dxa"/>
          </w:tcPr>
          <w:p w:rsidR="00024F91" w:rsidRPr="00B30BE6" w:rsidRDefault="00024F91" w:rsidP="00024F91">
            <w:pPr>
              <w:jc w:val="center"/>
              <w:rPr>
                <w:b/>
              </w:rPr>
            </w:pPr>
            <w:r w:rsidRPr="00B30BE6">
              <w:rPr>
                <w:b/>
              </w:rPr>
              <w:t>Возможные проекты</w:t>
            </w:r>
          </w:p>
        </w:tc>
      </w:tr>
      <w:tr w:rsidR="00B30BE6" w:rsidTr="000C1898">
        <w:tc>
          <w:tcPr>
            <w:tcW w:w="1497" w:type="dxa"/>
            <w:vMerge w:val="restart"/>
          </w:tcPr>
          <w:p w:rsidR="00B30BE6" w:rsidRPr="000C1898" w:rsidRDefault="00B30BE6" w:rsidP="00024F91">
            <w:pPr>
              <w:jc w:val="center"/>
              <w:rPr>
                <w:b/>
                <w:color w:val="FF0000"/>
                <w:sz w:val="96"/>
                <w:szCs w:val="96"/>
                <w:lang w:val="en-US"/>
              </w:rPr>
            </w:pPr>
            <w:r w:rsidRPr="000C1898">
              <w:rPr>
                <w:b/>
                <w:color w:val="FF0000"/>
                <w:sz w:val="96"/>
                <w:szCs w:val="96"/>
                <w:lang w:val="en-US"/>
              </w:rPr>
              <w:t>S</w:t>
            </w:r>
          </w:p>
        </w:tc>
        <w:tc>
          <w:tcPr>
            <w:tcW w:w="3752" w:type="dxa"/>
          </w:tcPr>
          <w:p w:rsidR="00B30BE6" w:rsidRDefault="00991586" w:rsidP="00024F91">
            <w:pPr>
              <w:jc w:val="center"/>
            </w:pPr>
            <w:r>
              <w:t>Потеря документов</w:t>
            </w: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B30BE6" w:rsidTr="000C1898">
        <w:tc>
          <w:tcPr>
            <w:tcW w:w="1497" w:type="dxa"/>
            <w:vMerge/>
          </w:tcPr>
          <w:p w:rsidR="00B30BE6" w:rsidRDefault="00B30BE6" w:rsidP="00024F91">
            <w:pPr>
              <w:jc w:val="center"/>
            </w:pPr>
          </w:p>
        </w:tc>
        <w:tc>
          <w:tcPr>
            <w:tcW w:w="3752" w:type="dxa"/>
          </w:tcPr>
          <w:p w:rsidR="00B30BE6" w:rsidRDefault="00991586" w:rsidP="00024F91">
            <w:pPr>
              <w:jc w:val="center"/>
            </w:pPr>
            <w:r>
              <w:t>Пропускной режим</w:t>
            </w: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B30BE6" w:rsidTr="000C1898">
        <w:tc>
          <w:tcPr>
            <w:tcW w:w="1497" w:type="dxa"/>
            <w:vMerge/>
          </w:tcPr>
          <w:p w:rsidR="00B30BE6" w:rsidRDefault="00B30BE6" w:rsidP="00024F91">
            <w:pPr>
              <w:jc w:val="center"/>
            </w:pPr>
          </w:p>
        </w:tc>
        <w:tc>
          <w:tcPr>
            <w:tcW w:w="3752" w:type="dxa"/>
          </w:tcPr>
          <w:p w:rsidR="00B30BE6" w:rsidRDefault="00991586" w:rsidP="00024F91">
            <w:pPr>
              <w:jc w:val="center"/>
            </w:pPr>
            <w:r>
              <w:t>Старые ненадежные компьютеры</w:t>
            </w: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B30BE6" w:rsidTr="000C1898">
        <w:tc>
          <w:tcPr>
            <w:tcW w:w="1497" w:type="dxa"/>
            <w:vMerge/>
          </w:tcPr>
          <w:p w:rsidR="00B30BE6" w:rsidRDefault="00B30BE6" w:rsidP="00024F91">
            <w:pPr>
              <w:jc w:val="center"/>
            </w:pPr>
          </w:p>
        </w:tc>
        <w:tc>
          <w:tcPr>
            <w:tcW w:w="3752" w:type="dxa"/>
          </w:tcPr>
          <w:p w:rsidR="00B30BE6" w:rsidRDefault="00991586" w:rsidP="00024F91">
            <w:pPr>
              <w:jc w:val="center"/>
            </w:pPr>
            <w:r>
              <w:t>Безопасность на объекте</w:t>
            </w: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B30BE6" w:rsidTr="000C1898">
        <w:tc>
          <w:tcPr>
            <w:tcW w:w="1497" w:type="dxa"/>
            <w:vMerge/>
          </w:tcPr>
          <w:p w:rsidR="00B30BE6" w:rsidRDefault="00B30BE6" w:rsidP="00024F91">
            <w:pPr>
              <w:jc w:val="center"/>
            </w:pPr>
          </w:p>
        </w:tc>
        <w:tc>
          <w:tcPr>
            <w:tcW w:w="3752" w:type="dxa"/>
          </w:tcPr>
          <w:p w:rsidR="00B30BE6" w:rsidRDefault="00991586" w:rsidP="00024F91">
            <w:pPr>
              <w:jc w:val="center"/>
            </w:pPr>
            <w:r>
              <w:t>Удаление электронных документов</w:t>
            </w: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B30BE6" w:rsidTr="000C1898">
        <w:tc>
          <w:tcPr>
            <w:tcW w:w="1497" w:type="dxa"/>
            <w:vMerge/>
          </w:tcPr>
          <w:p w:rsidR="00B30BE6" w:rsidRDefault="00B30BE6" w:rsidP="00024F91">
            <w:pPr>
              <w:jc w:val="center"/>
            </w:pPr>
          </w:p>
        </w:tc>
        <w:tc>
          <w:tcPr>
            <w:tcW w:w="3752" w:type="dxa"/>
          </w:tcPr>
          <w:p w:rsidR="00B30BE6" w:rsidRDefault="00991586" w:rsidP="00024F91">
            <w:pPr>
              <w:jc w:val="center"/>
            </w:pPr>
            <w:r>
              <w:t>Потеря исполнительской документации</w:t>
            </w: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B30BE6" w:rsidTr="000C1898">
        <w:tc>
          <w:tcPr>
            <w:tcW w:w="1497" w:type="dxa"/>
            <w:vMerge/>
          </w:tcPr>
          <w:p w:rsidR="00B30BE6" w:rsidRDefault="00B30BE6" w:rsidP="00024F91">
            <w:pPr>
              <w:jc w:val="center"/>
            </w:pPr>
          </w:p>
        </w:tc>
        <w:tc>
          <w:tcPr>
            <w:tcW w:w="3752" w:type="dxa"/>
          </w:tcPr>
          <w:p w:rsidR="00B30BE6" w:rsidRDefault="00991586" w:rsidP="00024F91">
            <w:pPr>
              <w:jc w:val="center"/>
            </w:pPr>
            <w:r>
              <w:t>Отсутствие технологического перерыва</w:t>
            </w: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B30BE6" w:rsidTr="000C1898">
        <w:tc>
          <w:tcPr>
            <w:tcW w:w="1497" w:type="dxa"/>
            <w:vMerge/>
          </w:tcPr>
          <w:p w:rsidR="00B30BE6" w:rsidRDefault="00B30BE6" w:rsidP="00024F91">
            <w:pPr>
              <w:jc w:val="center"/>
            </w:pPr>
          </w:p>
        </w:tc>
        <w:tc>
          <w:tcPr>
            <w:tcW w:w="3752" w:type="dxa"/>
          </w:tcPr>
          <w:p w:rsidR="00B30BE6" w:rsidRDefault="00B30BE6" w:rsidP="00024F91">
            <w:pPr>
              <w:jc w:val="center"/>
            </w:pPr>
          </w:p>
        </w:tc>
        <w:tc>
          <w:tcPr>
            <w:tcW w:w="4096" w:type="dxa"/>
          </w:tcPr>
          <w:p w:rsidR="00B30BE6" w:rsidRDefault="00B30BE6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 w:val="restart"/>
          </w:tcPr>
          <w:p w:rsidR="000C1898" w:rsidRPr="000C1898" w:rsidRDefault="000C1898" w:rsidP="00024F9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0C1898">
              <w:rPr>
                <w:b/>
                <w:color w:val="0070C0"/>
                <w:sz w:val="96"/>
                <w:szCs w:val="96"/>
                <w:lang w:val="en-US"/>
              </w:rPr>
              <w:t>Q</w:t>
            </w: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Нет регламента работы с документами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Отсутствие полноценного штата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Взаимодействие со структурными подразделениями, краевыми органами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Отсутствие техники, ПО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Некорректные формулировки в поступающих запросах от контрольных органов и других организаций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Отсутствие цифровой базы данных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Ошибки в документации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Длительные и ненужные совещания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Качество проектно-сметной документации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991586" w:rsidP="00024F91">
            <w:pPr>
              <w:jc w:val="center"/>
            </w:pPr>
            <w:r>
              <w:t>Дублирование поручений, запросов, отчетов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6C7E16" w:rsidP="00024F91">
            <w:pPr>
              <w:jc w:val="center"/>
            </w:pPr>
            <w:r>
              <w:t>Некачественная работа «Электронного Краснодара»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6C7E16" w:rsidP="00024F91">
            <w:pPr>
              <w:jc w:val="center"/>
            </w:pPr>
            <w:r>
              <w:t>Отсутствие электронной подписи в СЭД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6C7E16" w:rsidP="00024F91">
            <w:pPr>
              <w:jc w:val="center"/>
            </w:pPr>
            <w:r>
              <w:t>Незнание информации полностью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6C7E16" w:rsidP="00024F91">
            <w:pPr>
              <w:jc w:val="center"/>
            </w:pPr>
            <w:r>
              <w:t>Неполный пакет документов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6C7E16" w:rsidP="00024F91">
            <w:pPr>
              <w:jc w:val="center"/>
            </w:pPr>
            <w:r>
              <w:t>Некорректные резолюции на письма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6C7E16" w:rsidP="00024F91">
            <w:pPr>
              <w:jc w:val="center"/>
            </w:pPr>
            <w:r>
              <w:t>Незнание информации приемной</w:t>
            </w: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0C1898" w:rsidP="00024F91">
            <w:pPr>
              <w:jc w:val="center"/>
            </w:pPr>
          </w:p>
        </w:tc>
        <w:tc>
          <w:tcPr>
            <w:tcW w:w="4096" w:type="dxa"/>
          </w:tcPr>
          <w:p w:rsidR="000C1898" w:rsidRDefault="000C1898" w:rsidP="00024F91">
            <w:pPr>
              <w:jc w:val="center"/>
            </w:pPr>
          </w:p>
        </w:tc>
      </w:tr>
      <w:tr w:rsidR="000C1898" w:rsidTr="000C1898">
        <w:tc>
          <w:tcPr>
            <w:tcW w:w="1497" w:type="dxa"/>
            <w:vMerge/>
          </w:tcPr>
          <w:p w:rsidR="000C1898" w:rsidRDefault="000C1898" w:rsidP="00024F91">
            <w:pPr>
              <w:jc w:val="center"/>
            </w:pPr>
          </w:p>
        </w:tc>
        <w:tc>
          <w:tcPr>
            <w:tcW w:w="3752" w:type="dxa"/>
          </w:tcPr>
          <w:p w:rsidR="000C1898" w:rsidRDefault="000C1898" w:rsidP="000C1898">
            <w:pPr>
              <w:jc w:val="center"/>
            </w:pPr>
          </w:p>
        </w:tc>
        <w:tc>
          <w:tcPr>
            <w:tcW w:w="4096" w:type="dxa"/>
          </w:tcPr>
          <w:p w:rsidR="000C1898" w:rsidRPr="00991586" w:rsidRDefault="000C1898" w:rsidP="00024F91">
            <w:pPr>
              <w:jc w:val="center"/>
            </w:pPr>
          </w:p>
        </w:tc>
      </w:tr>
      <w:tr w:rsidR="00BC68EE" w:rsidTr="000C1898">
        <w:tc>
          <w:tcPr>
            <w:tcW w:w="1497" w:type="dxa"/>
            <w:vMerge w:val="restart"/>
          </w:tcPr>
          <w:p w:rsidR="00BC68EE" w:rsidRPr="000A2059" w:rsidRDefault="00BC68EE" w:rsidP="00024F9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0A2059">
              <w:rPr>
                <w:b/>
                <w:color w:val="FFFF00"/>
                <w:sz w:val="96"/>
                <w:szCs w:val="96"/>
                <w:lang w:val="en-US"/>
              </w:rPr>
              <w:t>D</w:t>
            </w:r>
          </w:p>
        </w:tc>
        <w:tc>
          <w:tcPr>
            <w:tcW w:w="3752" w:type="dxa"/>
          </w:tcPr>
          <w:p w:rsidR="00BC68EE" w:rsidRPr="008756E5" w:rsidRDefault="00991586" w:rsidP="008756E5">
            <w:pPr>
              <w:jc w:val="center"/>
            </w:pPr>
            <w:r>
              <w:t>Затягивание сроков</w:t>
            </w:r>
          </w:p>
        </w:tc>
        <w:tc>
          <w:tcPr>
            <w:tcW w:w="4096" w:type="dxa"/>
          </w:tcPr>
          <w:p w:rsidR="00BC68EE" w:rsidRDefault="00BC68EE" w:rsidP="00024F91">
            <w:pPr>
              <w:jc w:val="center"/>
            </w:pPr>
          </w:p>
        </w:tc>
      </w:tr>
      <w:tr w:rsidR="00BC68EE" w:rsidTr="000C1898">
        <w:tc>
          <w:tcPr>
            <w:tcW w:w="1497" w:type="dxa"/>
            <w:vMerge/>
          </w:tcPr>
          <w:p w:rsidR="00BC68EE" w:rsidRDefault="00BC68EE" w:rsidP="00024F91">
            <w:pPr>
              <w:jc w:val="center"/>
            </w:pPr>
          </w:p>
        </w:tc>
        <w:tc>
          <w:tcPr>
            <w:tcW w:w="3752" w:type="dxa"/>
          </w:tcPr>
          <w:p w:rsidR="00BC68EE" w:rsidRDefault="00991586" w:rsidP="00024F91">
            <w:pPr>
              <w:jc w:val="center"/>
            </w:pPr>
            <w:r>
              <w:t>Несвоевременное предоставление информации</w:t>
            </w:r>
          </w:p>
        </w:tc>
        <w:tc>
          <w:tcPr>
            <w:tcW w:w="4096" w:type="dxa"/>
          </w:tcPr>
          <w:p w:rsidR="00BC68EE" w:rsidRDefault="00BC68EE" w:rsidP="00024F91">
            <w:pPr>
              <w:jc w:val="center"/>
            </w:pPr>
          </w:p>
        </w:tc>
      </w:tr>
      <w:tr w:rsidR="00BC68EE" w:rsidTr="000C1898">
        <w:tc>
          <w:tcPr>
            <w:tcW w:w="1497" w:type="dxa"/>
            <w:vMerge/>
          </w:tcPr>
          <w:p w:rsidR="00BC68EE" w:rsidRDefault="00BC68EE" w:rsidP="00024F91">
            <w:pPr>
              <w:jc w:val="center"/>
            </w:pPr>
          </w:p>
        </w:tc>
        <w:tc>
          <w:tcPr>
            <w:tcW w:w="3752" w:type="dxa"/>
          </w:tcPr>
          <w:p w:rsidR="00BC68EE" w:rsidRDefault="00991586" w:rsidP="00024F91">
            <w:pPr>
              <w:jc w:val="center"/>
            </w:pPr>
            <w:r>
              <w:t>Длительные согласования</w:t>
            </w:r>
          </w:p>
        </w:tc>
        <w:tc>
          <w:tcPr>
            <w:tcW w:w="4096" w:type="dxa"/>
          </w:tcPr>
          <w:p w:rsidR="00BC68EE" w:rsidRDefault="00BC68EE" w:rsidP="00024F91">
            <w:pPr>
              <w:jc w:val="center"/>
            </w:pPr>
          </w:p>
        </w:tc>
      </w:tr>
      <w:tr w:rsidR="00BC68EE" w:rsidTr="000C1898">
        <w:tc>
          <w:tcPr>
            <w:tcW w:w="1497" w:type="dxa"/>
            <w:vMerge/>
          </w:tcPr>
          <w:p w:rsidR="00BC68EE" w:rsidRDefault="00BC68EE" w:rsidP="00024F91">
            <w:pPr>
              <w:jc w:val="center"/>
            </w:pPr>
          </w:p>
        </w:tc>
        <w:tc>
          <w:tcPr>
            <w:tcW w:w="3752" w:type="dxa"/>
          </w:tcPr>
          <w:p w:rsidR="00BC68EE" w:rsidRDefault="00991586" w:rsidP="00024F91">
            <w:pPr>
              <w:jc w:val="center"/>
            </w:pPr>
            <w:r>
              <w:t>Длительная цепочка резолюций</w:t>
            </w:r>
          </w:p>
        </w:tc>
        <w:tc>
          <w:tcPr>
            <w:tcW w:w="4096" w:type="dxa"/>
          </w:tcPr>
          <w:p w:rsidR="00BC68EE" w:rsidRDefault="00BC68EE" w:rsidP="00024F91">
            <w:pPr>
              <w:jc w:val="center"/>
            </w:pPr>
          </w:p>
        </w:tc>
      </w:tr>
      <w:tr w:rsidR="00BC68EE" w:rsidTr="000C1898">
        <w:tc>
          <w:tcPr>
            <w:tcW w:w="1497" w:type="dxa"/>
            <w:vMerge/>
          </w:tcPr>
          <w:p w:rsidR="00BC68EE" w:rsidRDefault="00BC68EE" w:rsidP="00024F91">
            <w:pPr>
              <w:jc w:val="center"/>
            </w:pPr>
          </w:p>
        </w:tc>
        <w:tc>
          <w:tcPr>
            <w:tcW w:w="3752" w:type="dxa"/>
          </w:tcPr>
          <w:p w:rsidR="00BC68EE" w:rsidRDefault="006C7E16" w:rsidP="00024F91">
            <w:pPr>
              <w:jc w:val="center"/>
            </w:pPr>
            <w:r>
              <w:t>Ограниченные сроки исполнения</w:t>
            </w:r>
          </w:p>
        </w:tc>
        <w:tc>
          <w:tcPr>
            <w:tcW w:w="4096" w:type="dxa"/>
          </w:tcPr>
          <w:p w:rsidR="00BC68EE" w:rsidRDefault="00BC68EE" w:rsidP="00024F91">
            <w:pPr>
              <w:jc w:val="center"/>
            </w:pPr>
          </w:p>
        </w:tc>
      </w:tr>
      <w:tr w:rsidR="00BC68EE" w:rsidTr="000C1898">
        <w:tc>
          <w:tcPr>
            <w:tcW w:w="1497" w:type="dxa"/>
            <w:vMerge/>
          </w:tcPr>
          <w:p w:rsidR="00BC68EE" w:rsidRDefault="00BC68EE" w:rsidP="00024F91">
            <w:pPr>
              <w:jc w:val="center"/>
            </w:pPr>
          </w:p>
        </w:tc>
        <w:tc>
          <w:tcPr>
            <w:tcW w:w="3752" w:type="dxa"/>
          </w:tcPr>
          <w:p w:rsidR="00BC68EE" w:rsidRDefault="006C7E16" w:rsidP="00024F91">
            <w:pPr>
              <w:jc w:val="center"/>
            </w:pPr>
            <w:r>
              <w:t>Ожидание, так как зависим от других сотрудников</w:t>
            </w:r>
          </w:p>
        </w:tc>
        <w:tc>
          <w:tcPr>
            <w:tcW w:w="4096" w:type="dxa"/>
          </w:tcPr>
          <w:p w:rsidR="00BC68EE" w:rsidRDefault="00BC68EE" w:rsidP="00024F91">
            <w:pPr>
              <w:jc w:val="center"/>
            </w:pPr>
          </w:p>
        </w:tc>
      </w:tr>
      <w:tr w:rsidR="00BC68EE" w:rsidTr="000C1898">
        <w:tc>
          <w:tcPr>
            <w:tcW w:w="1497" w:type="dxa"/>
            <w:vMerge/>
          </w:tcPr>
          <w:p w:rsidR="00BC68EE" w:rsidRDefault="00BC68EE" w:rsidP="00024F91">
            <w:pPr>
              <w:jc w:val="center"/>
            </w:pPr>
          </w:p>
        </w:tc>
        <w:tc>
          <w:tcPr>
            <w:tcW w:w="3752" w:type="dxa"/>
          </w:tcPr>
          <w:p w:rsidR="00BC68EE" w:rsidRDefault="006C7E16" w:rsidP="00024F91">
            <w:pPr>
              <w:jc w:val="center"/>
            </w:pPr>
            <w:r>
              <w:t>Просроченные даты исполнения</w:t>
            </w:r>
          </w:p>
        </w:tc>
        <w:tc>
          <w:tcPr>
            <w:tcW w:w="4096" w:type="dxa"/>
          </w:tcPr>
          <w:p w:rsidR="00BC68EE" w:rsidRDefault="00BC68EE" w:rsidP="00024F91">
            <w:pPr>
              <w:jc w:val="center"/>
            </w:pPr>
          </w:p>
        </w:tc>
      </w:tr>
      <w:tr w:rsidR="00E50FB6" w:rsidTr="000C1898">
        <w:tc>
          <w:tcPr>
            <w:tcW w:w="1497" w:type="dxa"/>
            <w:vMerge w:val="restart"/>
          </w:tcPr>
          <w:p w:rsidR="00E50FB6" w:rsidRPr="00E50FB6" w:rsidRDefault="00E50FB6" w:rsidP="00024F9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E50FB6">
              <w:rPr>
                <w:b/>
                <w:color w:val="538135" w:themeColor="accent6" w:themeShade="BF"/>
                <w:sz w:val="96"/>
                <w:szCs w:val="96"/>
                <w:lang w:val="en-US"/>
              </w:rPr>
              <w:t>C</w:t>
            </w:r>
          </w:p>
        </w:tc>
        <w:tc>
          <w:tcPr>
            <w:tcW w:w="3752" w:type="dxa"/>
          </w:tcPr>
          <w:p w:rsidR="00E50FB6" w:rsidRPr="00E50FB6" w:rsidRDefault="006C7E16" w:rsidP="00024F91">
            <w:pPr>
              <w:jc w:val="center"/>
            </w:pPr>
            <w:r>
              <w:t>Мотивация сотрудников</w:t>
            </w:r>
          </w:p>
        </w:tc>
        <w:tc>
          <w:tcPr>
            <w:tcW w:w="4096" w:type="dxa"/>
          </w:tcPr>
          <w:p w:rsidR="00E50FB6" w:rsidRDefault="00E50FB6" w:rsidP="00024F91">
            <w:pPr>
              <w:jc w:val="center"/>
            </w:pPr>
          </w:p>
        </w:tc>
      </w:tr>
      <w:tr w:rsidR="00E50FB6" w:rsidTr="000C1898">
        <w:tc>
          <w:tcPr>
            <w:tcW w:w="1497" w:type="dxa"/>
            <w:vMerge/>
          </w:tcPr>
          <w:p w:rsidR="00E50FB6" w:rsidRDefault="00E50FB6" w:rsidP="00024F91">
            <w:pPr>
              <w:jc w:val="center"/>
            </w:pPr>
          </w:p>
        </w:tc>
        <w:tc>
          <w:tcPr>
            <w:tcW w:w="3752" w:type="dxa"/>
          </w:tcPr>
          <w:p w:rsidR="00E50FB6" w:rsidRDefault="006C7E16" w:rsidP="00024F91">
            <w:pPr>
              <w:jc w:val="center"/>
            </w:pPr>
            <w:r>
              <w:t>Средства на повышение квалификации</w:t>
            </w:r>
          </w:p>
        </w:tc>
        <w:tc>
          <w:tcPr>
            <w:tcW w:w="4096" w:type="dxa"/>
          </w:tcPr>
          <w:p w:rsidR="00E50FB6" w:rsidRDefault="00E50FB6" w:rsidP="00024F91">
            <w:pPr>
              <w:jc w:val="center"/>
            </w:pPr>
          </w:p>
        </w:tc>
      </w:tr>
      <w:tr w:rsidR="00E50FB6" w:rsidTr="000C1898">
        <w:tc>
          <w:tcPr>
            <w:tcW w:w="1497" w:type="dxa"/>
            <w:vMerge/>
          </w:tcPr>
          <w:p w:rsidR="00E50FB6" w:rsidRDefault="00E50FB6" w:rsidP="00024F91">
            <w:pPr>
              <w:jc w:val="center"/>
            </w:pPr>
          </w:p>
        </w:tc>
        <w:tc>
          <w:tcPr>
            <w:tcW w:w="3752" w:type="dxa"/>
          </w:tcPr>
          <w:p w:rsidR="00E50FB6" w:rsidRDefault="00E50FB6" w:rsidP="00024F91">
            <w:pPr>
              <w:jc w:val="center"/>
            </w:pPr>
          </w:p>
        </w:tc>
        <w:tc>
          <w:tcPr>
            <w:tcW w:w="4096" w:type="dxa"/>
          </w:tcPr>
          <w:p w:rsidR="00E50FB6" w:rsidRDefault="00E50FB6" w:rsidP="00024F91">
            <w:pPr>
              <w:jc w:val="center"/>
            </w:pPr>
          </w:p>
        </w:tc>
      </w:tr>
      <w:tr w:rsidR="000A2059" w:rsidTr="000C1898">
        <w:tc>
          <w:tcPr>
            <w:tcW w:w="1497" w:type="dxa"/>
            <w:vMerge w:val="restart"/>
          </w:tcPr>
          <w:p w:rsidR="000A2059" w:rsidRPr="000A2059" w:rsidRDefault="000A2059" w:rsidP="00024F91">
            <w:pPr>
              <w:jc w:val="center"/>
              <w:rPr>
                <w:b/>
                <w:sz w:val="96"/>
                <w:szCs w:val="96"/>
              </w:rPr>
            </w:pPr>
            <w:r w:rsidRPr="000A2059">
              <w:rPr>
                <w:b/>
                <w:color w:val="00B0F0"/>
                <w:sz w:val="96"/>
                <w:szCs w:val="96"/>
              </w:rPr>
              <w:t>М</w:t>
            </w:r>
          </w:p>
        </w:tc>
        <w:tc>
          <w:tcPr>
            <w:tcW w:w="3752" w:type="dxa"/>
          </w:tcPr>
          <w:p w:rsidR="000A2059" w:rsidRPr="000A2059" w:rsidRDefault="006C7E16" w:rsidP="00024F91">
            <w:pPr>
              <w:jc w:val="center"/>
            </w:pPr>
            <w:r>
              <w:t xml:space="preserve">Несоблюдение </w:t>
            </w:r>
            <w:proofErr w:type="spellStart"/>
            <w:r>
              <w:t>дресс</w:t>
            </w:r>
            <w:proofErr w:type="spellEnd"/>
            <w:r>
              <w:t>-кода</w:t>
            </w:r>
          </w:p>
        </w:tc>
        <w:tc>
          <w:tcPr>
            <w:tcW w:w="4096" w:type="dxa"/>
          </w:tcPr>
          <w:p w:rsidR="000A2059" w:rsidRDefault="000A2059" w:rsidP="00024F91">
            <w:pPr>
              <w:jc w:val="center"/>
            </w:pPr>
          </w:p>
        </w:tc>
      </w:tr>
      <w:tr w:rsidR="000A2059" w:rsidTr="000C1898">
        <w:tc>
          <w:tcPr>
            <w:tcW w:w="1497" w:type="dxa"/>
            <w:vMerge/>
          </w:tcPr>
          <w:p w:rsidR="000A2059" w:rsidRDefault="000A2059" w:rsidP="00024F91">
            <w:pPr>
              <w:jc w:val="center"/>
            </w:pPr>
          </w:p>
        </w:tc>
        <w:tc>
          <w:tcPr>
            <w:tcW w:w="3752" w:type="dxa"/>
          </w:tcPr>
          <w:p w:rsidR="000A2059" w:rsidRDefault="00AF0DD5" w:rsidP="00024F91">
            <w:pPr>
              <w:jc w:val="center"/>
            </w:pPr>
            <w:r>
              <w:t>Несоблюдение</w:t>
            </w:r>
            <w:r w:rsidR="006C7E16">
              <w:t xml:space="preserve"> кодекса муниципального работника</w:t>
            </w:r>
          </w:p>
        </w:tc>
        <w:tc>
          <w:tcPr>
            <w:tcW w:w="4096" w:type="dxa"/>
          </w:tcPr>
          <w:p w:rsidR="000A2059" w:rsidRDefault="000A2059" w:rsidP="00024F91">
            <w:pPr>
              <w:jc w:val="center"/>
            </w:pPr>
          </w:p>
        </w:tc>
      </w:tr>
      <w:tr w:rsidR="000A2059" w:rsidTr="000C1898">
        <w:tc>
          <w:tcPr>
            <w:tcW w:w="1497" w:type="dxa"/>
            <w:vMerge/>
          </w:tcPr>
          <w:p w:rsidR="000A2059" w:rsidRDefault="000A2059" w:rsidP="00024F91">
            <w:pPr>
              <w:jc w:val="center"/>
            </w:pPr>
          </w:p>
        </w:tc>
        <w:tc>
          <w:tcPr>
            <w:tcW w:w="3752" w:type="dxa"/>
          </w:tcPr>
          <w:p w:rsidR="000A2059" w:rsidRDefault="00AF0DD5" w:rsidP="00024F91">
            <w:pPr>
              <w:jc w:val="center"/>
            </w:pPr>
            <w:r>
              <w:t>Низкая исполнительская дисциплина</w:t>
            </w:r>
          </w:p>
        </w:tc>
        <w:tc>
          <w:tcPr>
            <w:tcW w:w="4096" w:type="dxa"/>
          </w:tcPr>
          <w:p w:rsidR="000A2059" w:rsidRDefault="000A2059" w:rsidP="00024F91">
            <w:pPr>
              <w:jc w:val="center"/>
            </w:pPr>
          </w:p>
        </w:tc>
      </w:tr>
      <w:tr w:rsidR="000A2059" w:rsidTr="000C1898">
        <w:tc>
          <w:tcPr>
            <w:tcW w:w="1497" w:type="dxa"/>
            <w:vMerge/>
          </w:tcPr>
          <w:p w:rsidR="000A2059" w:rsidRDefault="000A2059" w:rsidP="00024F91">
            <w:pPr>
              <w:jc w:val="center"/>
            </w:pPr>
          </w:p>
        </w:tc>
        <w:tc>
          <w:tcPr>
            <w:tcW w:w="3752" w:type="dxa"/>
          </w:tcPr>
          <w:p w:rsidR="000A2059" w:rsidRDefault="000A2059" w:rsidP="00024F91">
            <w:pPr>
              <w:jc w:val="center"/>
            </w:pPr>
          </w:p>
        </w:tc>
        <w:tc>
          <w:tcPr>
            <w:tcW w:w="4096" w:type="dxa"/>
          </w:tcPr>
          <w:p w:rsidR="000A2059" w:rsidRDefault="000A2059" w:rsidP="00024F91">
            <w:pPr>
              <w:jc w:val="center"/>
            </w:pPr>
          </w:p>
        </w:tc>
      </w:tr>
      <w:tr w:rsidR="00D454FB" w:rsidTr="000C1898">
        <w:tc>
          <w:tcPr>
            <w:tcW w:w="1497" w:type="dxa"/>
            <w:vMerge w:val="restart"/>
          </w:tcPr>
          <w:p w:rsidR="00D454FB" w:rsidRPr="00D454FB" w:rsidRDefault="00D454FB" w:rsidP="00024F91">
            <w:pPr>
              <w:jc w:val="center"/>
              <w:rPr>
                <w:b/>
                <w:color w:val="00FFFF"/>
                <w:sz w:val="96"/>
                <w:szCs w:val="96"/>
              </w:rPr>
            </w:pPr>
            <w:r w:rsidRPr="00D454FB">
              <w:rPr>
                <w:b/>
                <w:color w:val="00FFFF"/>
                <w:sz w:val="96"/>
                <w:szCs w:val="96"/>
              </w:rPr>
              <w:lastRenderedPageBreak/>
              <w:t>Е</w:t>
            </w:r>
          </w:p>
        </w:tc>
        <w:tc>
          <w:tcPr>
            <w:tcW w:w="3752" w:type="dxa"/>
          </w:tcPr>
          <w:p w:rsidR="00D454FB" w:rsidRDefault="00AF0DD5" w:rsidP="00024F91">
            <w:pPr>
              <w:jc w:val="center"/>
            </w:pPr>
            <w:r>
              <w:t>Нерациональное использование бумаги</w:t>
            </w:r>
          </w:p>
        </w:tc>
        <w:tc>
          <w:tcPr>
            <w:tcW w:w="4096" w:type="dxa"/>
          </w:tcPr>
          <w:p w:rsidR="00D454FB" w:rsidRDefault="00D454FB" w:rsidP="00024F91">
            <w:pPr>
              <w:jc w:val="center"/>
            </w:pPr>
          </w:p>
        </w:tc>
      </w:tr>
      <w:tr w:rsidR="00D454FB" w:rsidTr="000C1898">
        <w:tc>
          <w:tcPr>
            <w:tcW w:w="1497" w:type="dxa"/>
            <w:vMerge/>
          </w:tcPr>
          <w:p w:rsidR="00D454FB" w:rsidRDefault="00D454FB" w:rsidP="00024F91">
            <w:pPr>
              <w:jc w:val="center"/>
            </w:pPr>
          </w:p>
        </w:tc>
        <w:tc>
          <w:tcPr>
            <w:tcW w:w="3752" w:type="dxa"/>
          </w:tcPr>
          <w:p w:rsidR="00D454FB" w:rsidRDefault="00D454FB" w:rsidP="00024F91">
            <w:pPr>
              <w:jc w:val="center"/>
            </w:pPr>
          </w:p>
        </w:tc>
        <w:tc>
          <w:tcPr>
            <w:tcW w:w="4096" w:type="dxa"/>
          </w:tcPr>
          <w:p w:rsidR="00D454FB" w:rsidRDefault="00D454FB" w:rsidP="00024F91">
            <w:pPr>
              <w:jc w:val="center"/>
            </w:pPr>
          </w:p>
        </w:tc>
      </w:tr>
      <w:tr w:rsidR="00D454FB" w:rsidTr="000C1898">
        <w:tc>
          <w:tcPr>
            <w:tcW w:w="1497" w:type="dxa"/>
            <w:vMerge/>
          </w:tcPr>
          <w:p w:rsidR="00D454FB" w:rsidRDefault="00D454FB" w:rsidP="00024F91">
            <w:pPr>
              <w:jc w:val="center"/>
            </w:pPr>
          </w:p>
        </w:tc>
        <w:tc>
          <w:tcPr>
            <w:tcW w:w="3752" w:type="dxa"/>
          </w:tcPr>
          <w:p w:rsidR="00D454FB" w:rsidRDefault="00D454FB" w:rsidP="00024F91">
            <w:pPr>
              <w:jc w:val="center"/>
            </w:pPr>
          </w:p>
        </w:tc>
        <w:tc>
          <w:tcPr>
            <w:tcW w:w="4096" w:type="dxa"/>
          </w:tcPr>
          <w:p w:rsidR="00D454FB" w:rsidRDefault="00D454FB" w:rsidP="00024F91">
            <w:pPr>
              <w:jc w:val="center"/>
            </w:pPr>
          </w:p>
        </w:tc>
      </w:tr>
    </w:tbl>
    <w:p w:rsidR="00024F91" w:rsidRPr="00024F91" w:rsidRDefault="00024F91" w:rsidP="00024F91">
      <w:pPr>
        <w:jc w:val="center"/>
      </w:pPr>
      <w:bookmarkStart w:id="0" w:name="_GoBack"/>
      <w:bookmarkEnd w:id="0"/>
    </w:p>
    <w:sectPr w:rsidR="00024F91" w:rsidRPr="0002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91"/>
    <w:rsid w:val="00024F91"/>
    <w:rsid w:val="000A2059"/>
    <w:rsid w:val="000C1898"/>
    <w:rsid w:val="001D1238"/>
    <w:rsid w:val="00612116"/>
    <w:rsid w:val="006C7E16"/>
    <w:rsid w:val="008756E5"/>
    <w:rsid w:val="0089674E"/>
    <w:rsid w:val="00991586"/>
    <w:rsid w:val="00AF0DD5"/>
    <w:rsid w:val="00B30BE6"/>
    <w:rsid w:val="00B85167"/>
    <w:rsid w:val="00BC68EE"/>
    <w:rsid w:val="00C470A5"/>
    <w:rsid w:val="00C87DF1"/>
    <w:rsid w:val="00D454FB"/>
    <w:rsid w:val="00E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94B4-1BC7-4425-B632-AED84A9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2020-06-19T10:33:00Z</dcterms:created>
  <dcterms:modified xsi:type="dcterms:W3CDTF">2020-06-19T10:54:00Z</dcterms:modified>
</cp:coreProperties>
</file>