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проекта межевания территории ограниченной </w:t>
      </w:r>
      <w:r>
        <w:rPr>
          <w:rFonts w:ascii="Times New Roman" w:hAnsi="Times New Roman" w:cs="Times New Roman"/>
          <w:sz w:val="28"/>
          <w:szCs w:val="28"/>
        </w:rPr>
        <w:t xml:space="preserve">улицами Садовой, Краевой, имени Евдокии Бершанской, Энтузиастов,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Карасунском внутригородском округе города Краснодара»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.09.</w:t>
      </w:r>
      <w:r>
        <w:rPr>
          <w:rFonts w:ascii="Times New Roman" w:hAnsi="Times New Roman" w:cs="Times New Roman"/>
          <w:sz w:val="28"/>
          <w:szCs w:val="28"/>
        </w:rPr>
        <w:t xml:space="preserve">2024 по 20.09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7</cp:revision>
  <dcterms:created xsi:type="dcterms:W3CDTF">2024-07-04T08:29:00Z</dcterms:created>
  <dcterms:modified xsi:type="dcterms:W3CDTF">2024-09-16T12:14:30Z</dcterms:modified>
</cp:coreProperties>
</file>