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247B47" w:rsidRPr="00247B47">
        <w:rPr>
          <w:sz w:val="28"/>
          <w:szCs w:val="28"/>
        </w:rPr>
        <w:t>решения городской Думы Краснодара «О внесении изменений в решение городской Думы Краснодара от 19.07.2012 № 32 п. 13 «Об утверждении местных нормативов градостроительного проектирования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47B47">
        <w:rPr>
          <w:sz w:val="28"/>
          <w:szCs w:val="28"/>
        </w:rPr>
        <w:t>17.04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47B47">
        <w:rPr>
          <w:sz w:val="28"/>
          <w:szCs w:val="28"/>
        </w:rPr>
        <w:t>02.05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247B47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E4A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2023-04-14T13:36:00Z</dcterms:created>
  <dcterms:modified xsi:type="dcterms:W3CDTF">2023-04-14T13:36:00Z</dcterms:modified>
</cp:coreProperties>
</file>