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20" w:rsidRDefault="000B3220">
      <w:pPr>
        <w:pStyle w:val="ConsPlusNormal"/>
        <w:jc w:val="both"/>
        <w:outlineLvl w:val="0"/>
      </w:pPr>
      <w:bookmarkStart w:id="0" w:name="_GoBack"/>
      <w:bookmarkEnd w:id="0"/>
    </w:p>
    <w:p w:rsidR="000B3220" w:rsidRDefault="000B322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B3220" w:rsidRDefault="000B3220">
      <w:pPr>
        <w:pStyle w:val="ConsPlusTitle"/>
        <w:jc w:val="center"/>
      </w:pPr>
    </w:p>
    <w:p w:rsidR="000B3220" w:rsidRDefault="000B3220">
      <w:pPr>
        <w:pStyle w:val="ConsPlusTitle"/>
        <w:jc w:val="center"/>
      </w:pPr>
      <w:r>
        <w:t>ПИСЬМО</w:t>
      </w:r>
    </w:p>
    <w:p w:rsidR="000B3220" w:rsidRDefault="000B3220">
      <w:pPr>
        <w:pStyle w:val="ConsPlusTitle"/>
        <w:jc w:val="center"/>
      </w:pPr>
      <w:r>
        <w:t>от 24 марта 2022 г. N Д24и-8436</w:t>
      </w:r>
    </w:p>
    <w:p w:rsidR="000B3220" w:rsidRDefault="000B3220">
      <w:pPr>
        <w:pStyle w:val="ConsPlusTitle"/>
        <w:jc w:val="center"/>
      </w:pPr>
    </w:p>
    <w:p w:rsidR="000B3220" w:rsidRDefault="000B3220">
      <w:pPr>
        <w:pStyle w:val="ConsPlusTitle"/>
        <w:jc w:val="center"/>
      </w:pPr>
      <w:r>
        <w:t>О РАЗЪЯСНЕНИИ</w:t>
      </w:r>
    </w:p>
    <w:p w:rsidR="000B3220" w:rsidRDefault="000B3220">
      <w:pPr>
        <w:pStyle w:val="ConsPlusTitle"/>
        <w:jc w:val="center"/>
      </w:pPr>
      <w:r>
        <w:t>ОСОБЕННОСТЕЙ ОРГАНИЗАЦИИ И ОСУЩЕСТВЛЕНИЯ ГОСУДАРСТВЕННОГО</w:t>
      </w:r>
    </w:p>
    <w:p w:rsidR="000B3220" w:rsidRDefault="000B3220">
      <w:pPr>
        <w:pStyle w:val="ConsPlusTitle"/>
        <w:jc w:val="center"/>
      </w:pPr>
      <w:r>
        <w:t>КОНТРОЛЯ (НАДЗОРА), МУНИЦИПАЛЬНОГО КОНТРОЛЯ В 2022 ГОДУ</w:t>
      </w:r>
    </w:p>
    <w:p w:rsidR="000B3220" w:rsidRDefault="000B3220">
      <w:pPr>
        <w:pStyle w:val="ConsPlusNormal"/>
        <w:ind w:firstLine="540"/>
        <w:jc w:val="both"/>
      </w:pPr>
    </w:p>
    <w:p w:rsidR="000B3220" w:rsidRDefault="000B3220">
      <w:pPr>
        <w:pStyle w:val="ConsPlusNormal"/>
        <w:ind w:firstLine="540"/>
        <w:jc w:val="both"/>
      </w:pPr>
      <w:r>
        <w:t xml:space="preserve">Департамент государственной политики в сфере лицензирования, контрольно-надзорной деятельности, аккредитации и саморегулирования Минэкономразвития России направляет разъяснение по отдельным вопросам организации и осуществления контрольной (надзорной) деятельности с учетом положений </w:t>
      </w:r>
      <w:hyperlink r:id="rId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(далее - постановление N 336).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1. По вопросу сферы применения положений </w:t>
      </w:r>
      <w:hyperlink r:id="rId5">
        <w:r>
          <w:rPr>
            <w:color w:val="0000FF"/>
          </w:rPr>
          <w:t>постановления</w:t>
        </w:r>
      </w:hyperlink>
      <w:r>
        <w:t xml:space="preserve"> N 336 отмечаем.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Положениями </w:t>
      </w:r>
      <w:hyperlink r:id="rId6">
        <w:r>
          <w:rPr>
            <w:color w:val="0000FF"/>
          </w:rPr>
          <w:t>постановления</w:t>
        </w:r>
      </w:hyperlink>
      <w:r>
        <w:t xml:space="preserve"> N 336 установлены особенности осуществления видов государственного контроля (надзора), муниципального контроля, к организации и осуществлению которых применяются положения Федерального закона от 31 июля 2020 г. N 248-ФЗ "О государственном контроле (надзоре) и муниципальном контроле в Российской Федерации" (далее - Федеральный закон N 248-ФЗ) и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294-ФЗ), а также осуществления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за деятельностью органов местного самоуправления и должностных лиц местного самоуправления.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Обращаем внимание, что указанные особенности применяются при организации и осуществлении государственного контроля (надзора), муниципального контроля вне зависимости от организационно-правовой формы контролируемого лица и распространяются в том числе на осуществление контрольной (надзорной) деятельности в отношении физических лиц.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Кроме того, отмечаем, что положениями </w:t>
      </w:r>
      <w:hyperlink r:id="rId7">
        <w:r>
          <w:rPr>
            <w:color w:val="0000FF"/>
          </w:rPr>
          <w:t>части 6 статьи 2</w:t>
        </w:r>
      </w:hyperlink>
      <w:r>
        <w:t xml:space="preserve"> Федерального закона N 248-ФЗ предусмотрена возможность установления нормативными правовыми актами отдельных федеральных органов государственной власти и Государственной корпорации "</w:t>
      </w:r>
      <w:proofErr w:type="spellStart"/>
      <w:r>
        <w:t>Росатом</w:t>
      </w:r>
      <w:proofErr w:type="spellEnd"/>
      <w:r>
        <w:t>" самостоятельного порядка организации и осуществления отдельных видов контроля на подведомственных и иных объектах контроля.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Отмечаем, что ограничения, предусмотренные </w:t>
      </w:r>
      <w:hyperlink r:id="rId8">
        <w:r>
          <w:rPr>
            <w:color w:val="0000FF"/>
          </w:rPr>
          <w:t>постановлением</w:t>
        </w:r>
      </w:hyperlink>
      <w:r>
        <w:t xml:space="preserve"> N 336, не распространяются на организацию и осуществление государственного контроля (надзора) в соответствии с </w:t>
      </w:r>
      <w:hyperlink r:id="rId9">
        <w:r>
          <w:rPr>
            <w:color w:val="0000FF"/>
          </w:rPr>
          <w:t>частью 6 статьи 2</w:t>
        </w:r>
      </w:hyperlink>
      <w:r>
        <w:t xml:space="preserve"> Федерального закона N 248-ФЗ.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2. По вопросу определения непосредственной угрозы причинения вреда отмечаем.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На основании положений </w:t>
      </w:r>
      <w:hyperlink r:id="rId10">
        <w:r>
          <w:rPr>
            <w:color w:val="0000FF"/>
          </w:rPr>
          <w:t>подпункта "а" пункта 3</w:t>
        </w:r>
      </w:hyperlink>
      <w:r>
        <w:t xml:space="preserve"> постановления N 336 выявления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 является основанием для проведения внепланового контрольного (надзорного) мероприятия.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Отмечаем, что положениями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N 248-ФЗ и </w:t>
      </w:r>
      <w:hyperlink r:id="rId12">
        <w:r>
          <w:rPr>
            <w:color w:val="0000FF"/>
          </w:rPr>
          <w:t>постановления</w:t>
        </w:r>
      </w:hyperlink>
      <w:r>
        <w:t xml:space="preserve"> N 336 не предусмотрены критерии для определения непосредственной угрозы причинения вреда указанным охраняемым законом ценностям. В указанном случае решение о проведении контрольного (надзорного) мероприятия принимается на 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При этом в целях реализации положений </w:t>
      </w:r>
      <w:hyperlink r:id="rId13">
        <w:r>
          <w:rPr>
            <w:color w:val="0000FF"/>
          </w:rPr>
          <w:t>постановления</w:t>
        </w:r>
      </w:hyperlink>
      <w:r>
        <w:t xml:space="preserve"> N 336 полагаем, что понятие "непосредственная угроза" подразумевает высокую степень вероятности причинения соответствующего вреда в краткосрочной перспективе, то есть ситуацию, когда отсутствие мер </w:t>
      </w:r>
      <w:r>
        <w:lastRenderedPageBreak/>
        <w:t>реагирования контрольных (надзорных) органов неминуемо влечет наступление негативных последствий.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Кроме того, полагаем, что данное понятие включает в себя прямую причинно-следственную связь между нарушением обязательных требований и причинением конкретным лицам (к примеру, жителям конкретного территориального образования, приобретателям конкретного товара) вреда определенной категории (к примеру, распространение конкретного заболевания, разрушение конкретного оборудования и так далее).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Также полагаем возможным при определении факта причинения вреда или угрозы причинения тяжкого вреда здоровью и жизни учитывать положения </w:t>
      </w:r>
      <w:hyperlink r:id="rId14">
        <w:r>
          <w:rPr>
            <w:color w:val="0000FF"/>
          </w:rPr>
          <w:t>приказа</w:t>
        </w:r>
      </w:hyperlink>
      <w:r>
        <w:t xml:space="preserve"> Минздрава России от 24 апреля 2008 г. N 194-н "Об утверждении медицинских критериев определения степени тяжести вреда, причиненного здоровью человека".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Одновременно отмечаем, что если основанием для проведения контрольного (надзорного) мероприятия, начатого до вступления в силу </w:t>
      </w:r>
      <w:hyperlink r:id="rId15">
        <w:r>
          <w:rPr>
            <w:color w:val="0000FF"/>
          </w:rPr>
          <w:t>постановления</w:t>
        </w:r>
      </w:hyperlink>
      <w:r>
        <w:t xml:space="preserve"> N 336, являлось наличие у контрольного (надзорного) органа сведений о причинении вреда (ущерба) или об угрозе причинения вреда (ущерба) охраняемым законом ценностям, то в соответствии с </w:t>
      </w:r>
      <w:hyperlink r:id="rId16">
        <w:r>
          <w:rPr>
            <w:color w:val="0000FF"/>
          </w:rPr>
          <w:t>пунктом 7</w:t>
        </w:r>
      </w:hyperlink>
      <w:r>
        <w:t xml:space="preserve"> постановления N 336 контрольный (надзорный) орган принимает решение о завершении такого мероприятия на основании оценки соответствия таких сведений требованиям </w:t>
      </w:r>
      <w:hyperlink r:id="rId17">
        <w:r>
          <w:rPr>
            <w:color w:val="0000FF"/>
          </w:rPr>
          <w:t>подпункта "а" пункта 3</w:t>
        </w:r>
      </w:hyperlink>
      <w:r>
        <w:t xml:space="preserve"> данного постановления.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3. По вопросу проведения контрольных (надзорных) мероприятий на основании поступления жалоб граждан за защитой (восстановлением) своих прав отмечаем.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абзацем 7 подпункта "а" пункта 3</w:t>
        </w:r>
      </w:hyperlink>
      <w:r>
        <w:t xml:space="preserve"> постановления N 336 поступление жалобы (жалоб) граждан за защитой (восстановлением) своих прав является основанием для проведения внепланового контрольного (надзорного) мероприятия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Полагаем, что в данном случае защита (восстановление) прав гражданина предполагает наличие прямой взаимосвязи между угрозой нарушения (фактом нарушения) обязательных требований и </w:t>
      </w:r>
      <w:proofErr w:type="gramStart"/>
      <w:r>
        <w:t>правами</w:t>
      </w:r>
      <w:proofErr w:type="gramEnd"/>
      <w:r>
        <w:t xml:space="preserve"> и законными интересами конкретного заявителя.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Отмечаем, что в случае, если жалоба гражданина (граждан) содержит сведения о нарушении контролируемым лицом обязательных требований, которые не повлекли причинение вреда (ущерба) или иным образом не нарушили права заявителя (заявителей), то проведение внепланового контрольного (надзорного) мероприятия в указанном случае не допускается.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4. По вопросу проведения профилактических мероприятий и контрольных (надзорных) мероприятий без взаимодействия отмечаем.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На основании </w:t>
      </w:r>
      <w:hyperlink r:id="rId19">
        <w:r>
          <w:rPr>
            <w:color w:val="0000FF"/>
          </w:rPr>
          <w:t>пункта 10</w:t>
        </w:r>
      </w:hyperlink>
      <w:r>
        <w:t xml:space="preserve"> постановления N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При этом в соответствии с </w:t>
      </w:r>
      <w:hyperlink r:id="rId20">
        <w:r>
          <w:rPr>
            <w:color w:val="0000FF"/>
          </w:rPr>
          <w:t>пунктом 7</w:t>
        </w:r>
      </w:hyperlink>
      <w:r>
        <w:t xml:space="preserve"> постановления N 336 исключается выдача предписаний об устранении нарушений обязательных требований по результатам контрольных (надзорных) мероприятий без взаимодействия в том числе в случае, если на основании </w:t>
      </w:r>
      <w:hyperlink r:id="rId21">
        <w:r>
          <w:rPr>
            <w:color w:val="0000FF"/>
          </w:rPr>
          <w:t>пункта 3 части 3 статьи 74</w:t>
        </w:r>
      </w:hyperlink>
      <w:r>
        <w:t xml:space="preserve"> Федерального закона N 248-ФЗ федеральными законами о видах контроля установлена возможности выдачи предписаний по результатам проведения наблюдения за соблюдением обязательных требований.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Кроме того, контрольный (надзорный) орган вправе предложить контролируемым лицам, в отношении которых предусмотрены ограничения на проведение контрольных (надзорных) мероприятий, проведение дополнительных профилактических визитов.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При этом необходимо предусмотреть внесение соответствующих изменений в программы профилактики нарушений обязательных требований (перечни профилактических мероприятий) на 2022 год без проведения их общественного обсуждения.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5. По вопросу оценки исполнения предписания об устранении нарушений обязательных требований, выданных после вступления в силу </w:t>
      </w:r>
      <w:hyperlink r:id="rId22">
        <w:r>
          <w:rPr>
            <w:color w:val="0000FF"/>
          </w:rPr>
          <w:t>постановления</w:t>
        </w:r>
      </w:hyperlink>
      <w:r>
        <w:t xml:space="preserve"> N 336, отмечаем.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lastRenderedPageBreak/>
        <w:t xml:space="preserve">В соответствии с </w:t>
      </w:r>
      <w:hyperlink r:id="rId23">
        <w:r>
          <w:rPr>
            <w:color w:val="0000FF"/>
          </w:rPr>
          <w:t>абзацем 2 пункта 7</w:t>
        </w:r>
      </w:hyperlink>
      <w:r>
        <w:t xml:space="preserve"> постановления N 336 после вступления в силу данного </w:t>
      </w:r>
      <w:hyperlink r:id="rId24">
        <w:r>
          <w:rPr>
            <w:color w:val="0000FF"/>
          </w:rPr>
          <w:t>постановления</w:t>
        </w:r>
      </w:hyperlink>
      <w:r>
        <w:t xml:space="preserve"> по результатам контрольного (надзорного) мероприятия с взаимодействием предписание об устранении нарушений может быть выдано в случае выявления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При этом на основании </w:t>
      </w:r>
      <w:hyperlink r:id="rId25">
        <w:r>
          <w:rPr>
            <w:color w:val="0000FF"/>
          </w:rPr>
          <w:t>абзаца 6 подпункта "а" пункта 3</w:t>
        </w:r>
      </w:hyperlink>
      <w:r>
        <w:t xml:space="preserve"> постановления N 336 истечение срока исполнения указанного предписания может быть основанием для проведения внеплановой выездной проверки в случае невозможности оценки исполнения предписания на основании сведений и документов, имеющихся в распоряжении контрольного (надзорного) органа.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Отмечаем, что в случае, если в ходе проведения контрольного (надзорного) мероприятия выявлены нарушения, не соответствующие положениям </w:t>
      </w:r>
      <w:hyperlink r:id="rId26">
        <w:r>
          <w:rPr>
            <w:color w:val="0000FF"/>
          </w:rPr>
          <w:t>абзаца 2 пункта 7</w:t>
        </w:r>
      </w:hyperlink>
      <w:r>
        <w:t xml:space="preserve"> постановления N 336, то есть не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то такие нарушения фиксируются в акте соответствующего мероприятия, но предписание не выдается. При этом в отношении контролируемого лица может быть объявлено предостережение о недопустимости нарушения обязательных требований.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Кроме того, в соответствии с </w:t>
      </w:r>
      <w:hyperlink r:id="rId27">
        <w:r>
          <w:rPr>
            <w:color w:val="0000FF"/>
          </w:rPr>
          <w:t>частью 3 статьи 90</w:t>
        </w:r>
      </w:hyperlink>
      <w:r>
        <w:t xml:space="preserve"> Федерального закона N 248-ФЗ, федеральными законами о видах контроля могут устанавливаться иные решения, принимаемые при проведении и по результатам проведения контрольных (надзорных) мероприятий, помимо решений, предусмотренных </w:t>
      </w:r>
      <w:hyperlink r:id="rId28">
        <w:r>
          <w:rPr>
            <w:color w:val="0000FF"/>
          </w:rPr>
          <w:t>частью 2</w:t>
        </w:r>
      </w:hyperlink>
      <w:r>
        <w:t xml:space="preserve"> указанной статьи.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Отмечаем, что положениями </w:t>
      </w:r>
      <w:hyperlink r:id="rId29">
        <w:r>
          <w:rPr>
            <w:color w:val="0000FF"/>
          </w:rPr>
          <w:t>постановления</w:t>
        </w:r>
      </w:hyperlink>
      <w:r>
        <w:t xml:space="preserve"> N 336 не предусматриваются ограничения на принятие контрольным (надзорным) органом таких решений по результатам проведения контрольных (надзорных) мероприятий, проведение которых допускается в соответствии с указанным </w:t>
      </w:r>
      <w:hyperlink r:id="rId30">
        <w:r>
          <w:rPr>
            <w:color w:val="0000FF"/>
          </w:rPr>
          <w:t>постановлением</w:t>
        </w:r>
      </w:hyperlink>
      <w:r>
        <w:t>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6. По вопросу оценки исполнения предписания об устранении нарушений обязательных требований, выданных до вступления в силу </w:t>
      </w:r>
      <w:hyperlink r:id="rId31">
        <w:r>
          <w:rPr>
            <w:color w:val="0000FF"/>
          </w:rPr>
          <w:t>постановления</w:t>
        </w:r>
      </w:hyperlink>
      <w:r>
        <w:t xml:space="preserve"> N 336, отмечаем.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32">
        <w:r>
          <w:rPr>
            <w:color w:val="0000FF"/>
          </w:rPr>
          <w:t>абзацем 1 пункта 8</w:t>
        </w:r>
      </w:hyperlink>
      <w:r>
        <w:t xml:space="preserve"> постановления N 336 срок исполнения предписаний, выданных до вступления в силу и действующих на день вступления в силу данного </w:t>
      </w:r>
      <w:hyperlink r:id="rId33">
        <w:r>
          <w:rPr>
            <w:color w:val="0000FF"/>
          </w:rPr>
          <w:t>постановления</w:t>
        </w:r>
      </w:hyperlink>
      <w:r>
        <w:t>, продлевается автоматически на 90 календарных дней со дня истечения срока его исполнения.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Отмечаем, что в случае, если указанное предписание содержит требование об устранении нарушений, не соответствующие положениям </w:t>
      </w:r>
      <w:hyperlink r:id="rId34">
        <w:r>
          <w:rPr>
            <w:color w:val="0000FF"/>
          </w:rPr>
          <w:t>абзаца 2 пункта 7</w:t>
        </w:r>
      </w:hyperlink>
      <w:r>
        <w:t xml:space="preserve"> постановления N 336, контрольный (надзорный) орган оценивает его исполнение только на основании имеющихся сведений и документов без проведения внеплановых контрольных (надзорных) мероприятий (за исключением случая представления контролируемым лицом документов и (или) сведений об исполнении предписания в целях получения или возобновления ранее приостановленного действия лицензии, аккредитации или иного документа, имеющего разрешительный характер).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При этом если указанные сведения не являются достаточными для признания предписания об устранении нарушений исполненным, то в отношении контролируемого лица может быть объявлено предостережение о недопустимости нарушения обязательных требований.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7. По вопросу привлечения контролируемых лиц к административной ответственности отмечаем.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3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N 248-ФЗ контрольный (надзорный) орган в случае выявления признаков административного правонарушения в ходе проведения контрольного (надзорного) мероприятия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Отмечаем, что в соответствии с </w:t>
      </w:r>
      <w:hyperlink r:id="rId36">
        <w:r>
          <w:rPr>
            <w:color w:val="0000FF"/>
          </w:rPr>
          <w:t>пунктом 9</w:t>
        </w:r>
      </w:hyperlink>
      <w:r>
        <w:t xml:space="preserve"> постановления N 336 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 положения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N 248-ФЗ, должностные лица контрольного (надзорного) органа вправе принять меры по привлечению виновных лиц к </w:t>
      </w:r>
      <w:r>
        <w:lastRenderedPageBreak/>
        <w:t>административной ответственности только на основании результатов проведения контрольного (надзорного) мероприятия с взаимодействием с контролируемым лицом.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Отмечаем, что указанное положение </w:t>
      </w:r>
      <w:hyperlink r:id="rId38">
        <w:r>
          <w:rPr>
            <w:color w:val="0000FF"/>
          </w:rPr>
          <w:t>постановления</w:t>
        </w:r>
      </w:hyperlink>
      <w:r>
        <w:t xml:space="preserve"> N 336 распространяется на выявление признаков любых нарушений обязательных требований, в отношении которых при подтверждении достоверности и достаточности сведений контрольный (надзорный) орган вправе выдать как предписание в соответствии с </w:t>
      </w:r>
      <w:hyperlink r:id="rId39">
        <w:r>
          <w:rPr>
            <w:color w:val="0000FF"/>
          </w:rPr>
          <w:t>пунктом 1 части 2 статьи 90</w:t>
        </w:r>
      </w:hyperlink>
      <w:r>
        <w:t xml:space="preserve"> Федерального закона N 248-ФЗ, так и принять меры по привлечению к административной ответственности.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Кроме того, указанные положения распространяются в том числе на случаи непосредственного обнаружения признаков административного правонарушения, получение таких сведений от граждан и организаций, органов государственной власти, органов местного самоуправления, средств массовой информации.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С учетом изложенного, оценка достаточности данных для решения вопроса о привлечении к административной ответственности может быть осуществлена только по результатам проведения контрольного (надзорного) мероприятия, в ходе которого допускается взаимодействие с контролируемым лицом, в том числе в случае, предусмотренном </w:t>
      </w:r>
      <w:hyperlink r:id="rId40">
        <w:r>
          <w:rPr>
            <w:color w:val="0000FF"/>
          </w:rPr>
          <w:t>пунктом 10.1</w:t>
        </w:r>
      </w:hyperlink>
      <w:r>
        <w:t xml:space="preserve"> постановления N 336.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Таким образом, возбуждение должностными лицами контрольных (надзорных) органов дел об административных правонарушениях без проведения соответствующих мероприятий не допускается.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При этом полагаем, что основанием для отказа в возбуждении дела об административном правонарушении может являться невозможность оценки достаточности данных, указывающих на наличие события и (или) состава административного правонарушения, в связи с ограничениями, предусмотренными </w:t>
      </w:r>
      <w:hyperlink r:id="rId41">
        <w:r>
          <w:rPr>
            <w:color w:val="0000FF"/>
          </w:rPr>
          <w:t>постановлением</w:t>
        </w:r>
      </w:hyperlink>
      <w:r>
        <w:t xml:space="preserve"> N 336. Одновременно в указанном случае допускается объявление предостережения о недопустимости нарушения обязательных требований.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Вместе с тем, допускается возбуждение дела об административном правонарушении без проведения контрольных (надзорных) мероприятий в случае применения меры обеспечения производства по делу об административном правонарушении в виде временного запрета деятельности. В указанном случае уполномоченным должностным лицом составляется соответствующий протокол, что является моментом возбуждения дела об административном правонарушении.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Отмечаем, что ограничения, предусмотренные </w:t>
      </w:r>
      <w:hyperlink r:id="rId42">
        <w:r>
          <w:rPr>
            <w:color w:val="0000FF"/>
          </w:rPr>
          <w:t>пунктом 9</w:t>
        </w:r>
      </w:hyperlink>
      <w:r>
        <w:t xml:space="preserve"> постановления N 336, распространяются только на решение вопроса о возбуждении дела об административном правонарушении посредством составления протокола об административном правонарушении, протокола о применении мер обеспечения производства, вынесения определения о возбуждении дела об административном правонарушении при необходимости проведения административного расследования и совершения иных действий, предусмотренных </w:t>
      </w:r>
      <w:hyperlink r:id="rId43">
        <w:r>
          <w:rPr>
            <w:color w:val="0000FF"/>
          </w:rPr>
          <w:t>частью 4 статьи 28.1</w:t>
        </w:r>
      </w:hyperlink>
      <w:r>
        <w:t xml:space="preserve"> Кодекса об административных правонарушениях Российской Федерации.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 xml:space="preserve">Таким образом, указанные ограничения не распространяются на случаи выявления контрольным (надзорным) органом признаков преступления, а также на производство по делам об административных правонарушениях, в том числе возбужденным до вступления в силу </w:t>
      </w:r>
      <w:hyperlink r:id="rId44">
        <w:r>
          <w:rPr>
            <w:color w:val="0000FF"/>
          </w:rPr>
          <w:t>постановления</w:t>
        </w:r>
      </w:hyperlink>
      <w:r>
        <w:t xml:space="preserve"> N 336, фиксируемым через фото-видео аппаратуру.</w:t>
      </w:r>
    </w:p>
    <w:p w:rsidR="000B3220" w:rsidRDefault="000B3220">
      <w:pPr>
        <w:pStyle w:val="ConsPlusNormal"/>
        <w:spacing w:before="200"/>
        <w:ind w:firstLine="540"/>
        <w:jc w:val="both"/>
      </w:pPr>
      <w:r>
        <w:t>Также обращаем внимание, что допускается возбуждение дел об административных правонарушениях на основании сведений, полученных в ходе проведения контрольных (надзорных) мероприятий с взаимодействием, вне зависимости от даты завершения таких мероприятий.</w:t>
      </w:r>
    </w:p>
    <w:p w:rsidR="000B3220" w:rsidRDefault="000B3220">
      <w:pPr>
        <w:pStyle w:val="ConsPlusNormal"/>
        <w:ind w:firstLine="540"/>
        <w:jc w:val="both"/>
      </w:pPr>
    </w:p>
    <w:p w:rsidR="000B3220" w:rsidRDefault="000B3220">
      <w:pPr>
        <w:pStyle w:val="ConsPlusNormal"/>
        <w:jc w:val="right"/>
      </w:pPr>
      <w:r>
        <w:t>Директор Департамента</w:t>
      </w:r>
    </w:p>
    <w:p w:rsidR="000B3220" w:rsidRDefault="000B3220">
      <w:pPr>
        <w:pStyle w:val="ConsPlusNormal"/>
        <w:jc w:val="right"/>
      </w:pPr>
      <w:r>
        <w:t>государственной политики в сфере</w:t>
      </w:r>
    </w:p>
    <w:p w:rsidR="000B3220" w:rsidRDefault="000B3220">
      <w:pPr>
        <w:pStyle w:val="ConsPlusNormal"/>
        <w:jc w:val="right"/>
      </w:pPr>
      <w:r>
        <w:t>лицензирования, контрольно-надзорной</w:t>
      </w:r>
    </w:p>
    <w:p w:rsidR="000B3220" w:rsidRDefault="000B3220">
      <w:pPr>
        <w:pStyle w:val="ConsPlusNormal"/>
        <w:jc w:val="right"/>
      </w:pPr>
      <w:r>
        <w:t>деятельности, аккредитации</w:t>
      </w:r>
    </w:p>
    <w:p w:rsidR="000B3220" w:rsidRDefault="000B3220">
      <w:pPr>
        <w:pStyle w:val="ConsPlusNormal"/>
        <w:jc w:val="right"/>
      </w:pPr>
      <w:r>
        <w:t>и саморегулирования</w:t>
      </w:r>
    </w:p>
    <w:p w:rsidR="000B3220" w:rsidRDefault="000B3220">
      <w:pPr>
        <w:pStyle w:val="ConsPlusNormal"/>
        <w:jc w:val="right"/>
      </w:pPr>
      <w:r>
        <w:t>А.В.ВДОВИН</w:t>
      </w:r>
    </w:p>
    <w:p w:rsidR="000B3220" w:rsidRDefault="000B3220">
      <w:pPr>
        <w:pStyle w:val="ConsPlusNormal"/>
        <w:jc w:val="both"/>
      </w:pPr>
    </w:p>
    <w:sectPr w:rsidR="000B3220" w:rsidSect="006C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20"/>
    <w:rsid w:val="000B3220"/>
    <w:rsid w:val="00972AFB"/>
    <w:rsid w:val="00F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8C23-7283-4317-820E-63099247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32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B32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07EE8F01B9DE6ABF24D287EC2111216130B19F7721C476A0BF4C58694623E48C00257337E211131A13C32E99A13A5001BD69339416DB5pCC9L" TargetMode="External"/><Relationship Id="rId13" Type="http://schemas.openxmlformats.org/officeDocument/2006/relationships/hyperlink" Target="consultantplus://offline/ref=F3E07EE8F01B9DE6ABF24D287EC2111216130B19F7721C476A0BF4C58694623E48C00257337E21163FA13C32E99A13A5001BD69339416DB5pCC9L" TargetMode="External"/><Relationship Id="rId18" Type="http://schemas.openxmlformats.org/officeDocument/2006/relationships/hyperlink" Target="consultantplus://offline/ref=F3E07EE8F01B9DE6ABF24D287EC2111216130B19F7721C476A0BF4C58694623E48C00257337E21173BA13C32E99A13A5001BD69339416DB5pCC9L" TargetMode="External"/><Relationship Id="rId26" Type="http://schemas.openxmlformats.org/officeDocument/2006/relationships/hyperlink" Target="consultantplus://offline/ref=F3E07EE8F01B9DE6ABF24D287EC2111216130B19F7721C476A0BF4C58694623E48C00257337E211031A13C32E99A13A5001BD69339416DB5pCC9L" TargetMode="External"/><Relationship Id="rId39" Type="http://schemas.openxmlformats.org/officeDocument/2006/relationships/hyperlink" Target="consultantplus://offline/ref=F3E07EE8F01B9DE6ABF24D287EC21112111A001AF6761C476A0BF4C58694623E48C00257337E281D31A13C32E99A13A5001BD69339416DB5pCC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E07EE8F01B9DE6ABF24D287EC21112111A001AF6761C476A0BF4C58694623E48C00257337F231038A13C32E99A13A5001BD69339416DB5pCC9L" TargetMode="External"/><Relationship Id="rId34" Type="http://schemas.openxmlformats.org/officeDocument/2006/relationships/hyperlink" Target="consultantplus://offline/ref=F3E07EE8F01B9DE6ABF24D287EC2111216130B19F7721C476A0BF4C58694623E48C00257337E211031A13C32E99A13A5001BD69339416DB5pCC9L" TargetMode="External"/><Relationship Id="rId42" Type="http://schemas.openxmlformats.org/officeDocument/2006/relationships/hyperlink" Target="consultantplus://offline/ref=F3E07EE8F01B9DE6ABF24D287EC2111216130B19F7721C476A0BF4C58694623E48C00257337E21113BA13C32E99A13A5001BD69339416DB5pCC9L" TargetMode="External"/><Relationship Id="rId7" Type="http://schemas.openxmlformats.org/officeDocument/2006/relationships/hyperlink" Target="consultantplus://offline/ref=F3E07EE8F01B9DE6ABF24D287EC21112111A001AF6761C476A0BF4C58694623E48C00254382A70506DA76A64B3CF19B90505D4p9C6L" TargetMode="External"/><Relationship Id="rId12" Type="http://schemas.openxmlformats.org/officeDocument/2006/relationships/hyperlink" Target="consultantplus://offline/ref=F3E07EE8F01B9DE6ABF24D287EC2111216130B19F7721C476A0BF4C58694623E48C00257337E21163FA13C32E99A13A5001BD69339416DB5pCC9L" TargetMode="External"/><Relationship Id="rId17" Type="http://schemas.openxmlformats.org/officeDocument/2006/relationships/hyperlink" Target="consultantplus://offline/ref=F3E07EE8F01B9DE6ABF24D287EC2111216130B19F7721C476A0BF4C58694623E48C00257337E21163FA13C32E99A13A5001BD69339416DB5pCC9L" TargetMode="External"/><Relationship Id="rId25" Type="http://schemas.openxmlformats.org/officeDocument/2006/relationships/hyperlink" Target="consultantplus://offline/ref=F3E07EE8F01B9DE6ABF24D287EC2111216130B19F7721C476A0BF4C58694623E48C00257337E21173AA13C32E99A13A5001BD69339416DB5pCC9L" TargetMode="External"/><Relationship Id="rId33" Type="http://schemas.openxmlformats.org/officeDocument/2006/relationships/hyperlink" Target="consultantplus://offline/ref=F3E07EE8F01B9DE6ABF24D287EC2111216130B19F7721C476A0BF4C58694623E5AC05A5B31793F143FB46A63AFpCCDL" TargetMode="External"/><Relationship Id="rId38" Type="http://schemas.openxmlformats.org/officeDocument/2006/relationships/hyperlink" Target="consultantplus://offline/ref=F3E07EE8F01B9DE6ABF24D287EC2111216130B19F7721C476A0BF4C58694623E48C00257337E21113BA13C32E99A13A5001BD69339416DB5pCC9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E07EE8F01B9DE6ABF24D287EC2111216130B19F7721C476A0BF4C58694623E48C00257337E211030A13C32E99A13A5001BD69339416DB5pCC9L" TargetMode="External"/><Relationship Id="rId20" Type="http://schemas.openxmlformats.org/officeDocument/2006/relationships/hyperlink" Target="consultantplus://offline/ref=F3E07EE8F01B9DE6ABF24D287EC2111216130B19F7721C476A0BF4C58694623E48C00257337E211138A13C32E99A13A5001BD69339416DB5pCC9L" TargetMode="External"/><Relationship Id="rId29" Type="http://schemas.openxmlformats.org/officeDocument/2006/relationships/hyperlink" Target="consultantplus://offline/ref=F3E07EE8F01B9DE6ABF24D287EC2111216130B19F7721C476A0BF4C58694623E5AC05A5B31793F143FB46A63AFpCCDL" TargetMode="External"/><Relationship Id="rId41" Type="http://schemas.openxmlformats.org/officeDocument/2006/relationships/hyperlink" Target="consultantplus://offline/ref=F3E07EE8F01B9DE6ABF24D287EC2111216130B19F7721C476A0BF4C58694623E48C00257337E21113BA13C32E99A13A5001BD69339416DB5pCC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E07EE8F01B9DE6ABF24D287EC2111216130B19F7721C476A0BF4C58694623E5AC05A5B31793F143FB46A63AFpCCDL" TargetMode="External"/><Relationship Id="rId11" Type="http://schemas.openxmlformats.org/officeDocument/2006/relationships/hyperlink" Target="consultantplus://offline/ref=F3E07EE8F01B9DE6ABF24D287EC21112111A001AF6761C476A0BF4C58694623E48C00257337F201C3FA13C32E99A13A5001BD69339416DB5pCC9L" TargetMode="External"/><Relationship Id="rId24" Type="http://schemas.openxmlformats.org/officeDocument/2006/relationships/hyperlink" Target="consultantplus://offline/ref=F3E07EE8F01B9DE6ABF24D287EC2111216130B19F7721C476A0BF4C58694623E5AC05A5B31793F143FB46A63AFpCCDL" TargetMode="External"/><Relationship Id="rId32" Type="http://schemas.openxmlformats.org/officeDocument/2006/relationships/hyperlink" Target="consultantplus://offline/ref=F3E07EE8F01B9DE6ABF24D287EC2111216130B19F7721C476A0BF4C58694623E48C00257337E211139A13C32E99A13A5001BD69339416DB5pCC9L" TargetMode="External"/><Relationship Id="rId37" Type="http://schemas.openxmlformats.org/officeDocument/2006/relationships/hyperlink" Target="consultantplus://offline/ref=F3E07EE8F01B9DE6ABF24D287EC21112111A001AF6761C476A0BF4C58694623E5AC05A5B31793F143FB46A63AFpCCDL" TargetMode="External"/><Relationship Id="rId40" Type="http://schemas.openxmlformats.org/officeDocument/2006/relationships/hyperlink" Target="consultantplus://offline/ref=F3E07EE8F01B9DE6ABF24D287EC2111216130B19F7721C476A0BF4C58694623E48C00257337E21123DA13C32E99A13A5001BD69339416DB5pCC9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F3E07EE8F01B9DE6ABF24D287EC2111216130B19F7721C476A0BF4C58694623E5AC05A5B31793F143FB46A63AFpCCDL" TargetMode="External"/><Relationship Id="rId15" Type="http://schemas.openxmlformats.org/officeDocument/2006/relationships/hyperlink" Target="consultantplus://offline/ref=F3E07EE8F01B9DE6ABF24D287EC2111216130B19F7721C476A0BF4C58694623E5AC05A5B31793F143FB46A63AFpCCDL" TargetMode="External"/><Relationship Id="rId23" Type="http://schemas.openxmlformats.org/officeDocument/2006/relationships/hyperlink" Target="consultantplus://offline/ref=F3E07EE8F01B9DE6ABF24D287EC2111216130B19F7721C476A0BF4C58694623E48C00257337E211031A13C32E99A13A5001BD69339416DB5pCC9L" TargetMode="External"/><Relationship Id="rId28" Type="http://schemas.openxmlformats.org/officeDocument/2006/relationships/hyperlink" Target="consultantplus://offline/ref=F3E07EE8F01B9DE6ABF24D287EC21112111A001AF6761C476A0BF4C58694623E48C00257337E281D30A13C32E99A13A5001BD69339416DB5pCC9L" TargetMode="External"/><Relationship Id="rId36" Type="http://schemas.openxmlformats.org/officeDocument/2006/relationships/hyperlink" Target="consultantplus://offline/ref=F3E07EE8F01B9DE6ABF24D287EC2111216130B19F7721C476A0BF4C58694623E48C00257337E21113BA13C32E99A13A5001BD69339416DB5pCC9L" TargetMode="External"/><Relationship Id="rId10" Type="http://schemas.openxmlformats.org/officeDocument/2006/relationships/hyperlink" Target="consultantplus://offline/ref=F3E07EE8F01B9DE6ABF24D287EC2111216130B19F7721C476A0BF4C58694623E48C00257337E21163FA13C32E99A13A5001BD69339416DB5pCC9L" TargetMode="External"/><Relationship Id="rId19" Type="http://schemas.openxmlformats.org/officeDocument/2006/relationships/hyperlink" Target="consultantplus://offline/ref=F3E07EE8F01B9DE6ABF24D287EC2111216130B19F7721C476A0BF4C58694623E48C00257337E21123CA13C32E99A13A5001BD69339416DB5pCC9L" TargetMode="External"/><Relationship Id="rId31" Type="http://schemas.openxmlformats.org/officeDocument/2006/relationships/hyperlink" Target="consultantplus://offline/ref=F3E07EE8F01B9DE6ABF24D287EC2111216130B19F7721C476A0BF4C58694623E5AC05A5B31793F143FB46A63AFpCCDL" TargetMode="External"/><Relationship Id="rId44" Type="http://schemas.openxmlformats.org/officeDocument/2006/relationships/hyperlink" Target="consultantplus://offline/ref=F3E07EE8F01B9DE6ABF24D287EC2111216130B19F7721C476A0BF4C58694623E5AC05A5B31793F143FB46A63AFpCCDL" TargetMode="External"/><Relationship Id="rId4" Type="http://schemas.openxmlformats.org/officeDocument/2006/relationships/hyperlink" Target="consultantplus://offline/ref=F3E07EE8F01B9DE6ABF24D287EC2111216130B19F7721C476A0BF4C58694623E5AC05A5B31793F143FB46A63AFpCCDL" TargetMode="External"/><Relationship Id="rId9" Type="http://schemas.openxmlformats.org/officeDocument/2006/relationships/hyperlink" Target="consultantplus://offline/ref=F3E07EE8F01B9DE6ABF24D287EC21112111A001AF6761C476A0BF4C58694623E48C00254382A70506DA76A64B3CF19B90505D4p9C6L" TargetMode="External"/><Relationship Id="rId14" Type="http://schemas.openxmlformats.org/officeDocument/2006/relationships/hyperlink" Target="consultantplus://offline/ref=F3E07EE8F01B9DE6ABF24D287EC2111213100E1FF4761C476A0BF4C58694623E48C00257337E211431A13C32E99A13A5001BD69339416DB5pCC9L" TargetMode="External"/><Relationship Id="rId22" Type="http://schemas.openxmlformats.org/officeDocument/2006/relationships/hyperlink" Target="consultantplus://offline/ref=F3E07EE8F01B9DE6ABF24D287EC2111216130B19F7721C476A0BF4C58694623E5AC05A5B31793F143FB46A63AFpCCDL" TargetMode="External"/><Relationship Id="rId27" Type="http://schemas.openxmlformats.org/officeDocument/2006/relationships/hyperlink" Target="consultantplus://offline/ref=F3E07EE8F01B9DE6ABF24D287EC21112111A001AF6761C476A0BF4C58694623E48C00257337F23123BA13C32E99A13A5001BD69339416DB5pCC9L" TargetMode="External"/><Relationship Id="rId30" Type="http://schemas.openxmlformats.org/officeDocument/2006/relationships/hyperlink" Target="consultantplus://offline/ref=F3E07EE8F01B9DE6ABF24D287EC2111216130B19F7721C476A0BF4C58694623E48C00257337E21143EA13C32E99A13A5001BD69339416DB5pCC9L" TargetMode="External"/><Relationship Id="rId35" Type="http://schemas.openxmlformats.org/officeDocument/2006/relationships/hyperlink" Target="consultantplus://offline/ref=F3E07EE8F01B9DE6ABF24D287EC21112111A001AF6761C476A0BF4C58694623E48C00257337F211439A13C32E99A13A5001BD69339416DB5pCC9L" TargetMode="External"/><Relationship Id="rId43" Type="http://schemas.openxmlformats.org/officeDocument/2006/relationships/hyperlink" Target="consultantplus://offline/ref=F3E07EE8F01B9DE6ABF24D287EC2111216100B1CF7721C476A0BF4C58694623E48C00257337A201038A13C32E99A13A5001BD69339416DB5pC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2</cp:revision>
  <dcterms:created xsi:type="dcterms:W3CDTF">2024-09-25T08:19:00Z</dcterms:created>
  <dcterms:modified xsi:type="dcterms:W3CDTF">2024-09-25T08:19:00Z</dcterms:modified>
</cp:coreProperties>
</file>