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ДОКУМЕНТАЦИЯ ОБ ОТКРЫТОМ АУКЦИОНЕ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В 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ЭЛЕКТРОННОЙ ФОРМЕ НА ПРАВО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ЗАКЛЮЧЕНИЯ 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bCs/>
          <w:i/>
          <w:sz w:val="28"/>
          <w:szCs w:val="28"/>
          <w:u w:val="single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ДОГОВОРА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О ПРЕДОСТАВЛЕНИИ ПРАВА НА РАЗМЕЩЕНИЕ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НЕСТАЦИОНАРНОГО ТОРГОВОГО ОБЪЕКТА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НА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ТЕРРИТОРИИ МУНИЦИПАЛЬНОГО ОБРАЗОВАНИЯ ГОРОД КРАСНОДАР</w:t>
      </w:r>
      <w:r>
        <w:rPr>
          <w:rFonts w:ascii="PT Astra Serif" w:hAnsi="PT Astra Serif" w:cs="PT Astra Serif"/>
          <w:b/>
          <w:bCs/>
          <w:i/>
          <w:sz w:val="28"/>
          <w:szCs w:val="28"/>
          <w:u w:val="single"/>
        </w:rPr>
      </w:r>
      <w:r>
        <w:rPr>
          <w:rFonts w:ascii="PT Astra Serif" w:hAnsi="PT Astra Serif" w:cs="PT Astra Serif"/>
          <w:b/>
          <w:bCs/>
          <w:i/>
          <w:sz w:val="28"/>
          <w:szCs w:val="28"/>
          <w:u w:val="single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bCs/>
          <w:i/>
          <w:sz w:val="28"/>
          <w:szCs w:val="28"/>
          <w:u w:val="single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Тип и специализация нестационарного торгового объекта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: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bCs/>
          <w:i/>
          <w:sz w:val="28"/>
          <w:szCs w:val="28"/>
          <w:u w:val="single"/>
        </w:rPr>
      </w:r>
      <w:r>
        <w:rPr>
          <w:rFonts w:ascii="PT Astra Serif" w:hAnsi="PT Astra Serif" w:cs="PT Astra Serif"/>
          <w:b/>
          <w:bCs/>
          <w:i/>
          <w:sz w:val="28"/>
          <w:szCs w:val="28"/>
          <w:u w:val="single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Cs/>
          <w:i/>
          <w:sz w:val="28"/>
          <w:szCs w:val="28"/>
          <w:u w:val="single"/>
        </w:rPr>
      </w:pPr>
      <w:r>
        <w:rPr>
          <w:rFonts w:ascii="PT Astra Serif" w:hAnsi="PT Astra Serif" w:eastAsia="PT Astra Serif" w:cs="PT Astra Serif"/>
          <w:b/>
          <w:i/>
          <w:sz w:val="28"/>
          <w:szCs w:val="28"/>
          <w:u w:val="single"/>
        </w:rPr>
        <w:t xml:space="preserve">АВТОЦИСТЕРНА, МОЛОКО ПАСТЕРИЗОВАННОЕ</w:t>
      </w:r>
      <w:r>
        <w:rPr>
          <w:rFonts w:ascii="PT Astra Serif" w:hAnsi="PT Astra Serif" w:cs="PT Astra Serif"/>
          <w:bCs/>
          <w:i/>
          <w:sz w:val="28"/>
          <w:szCs w:val="28"/>
          <w:u w:val="single"/>
        </w:rPr>
      </w:r>
      <w:r>
        <w:rPr>
          <w:rFonts w:ascii="PT Astra Serif" w:hAnsi="PT Astra Serif" w:cs="PT Astra Serif"/>
          <w:bCs/>
          <w:i/>
          <w:sz w:val="28"/>
          <w:szCs w:val="28"/>
          <w:u w:val="single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i/>
          <w:u w:val="single"/>
        </w:rPr>
      </w:pPr>
      <w:r>
        <w:rPr>
          <w:rFonts w:ascii="PT Astra Serif" w:hAnsi="PT Astra Serif" w:eastAsia="PT Astra Serif" w:cs="PT Astra Serif"/>
          <w:i/>
          <w:u w:val="single"/>
        </w:rPr>
      </w:r>
      <w:r>
        <w:rPr>
          <w:rFonts w:ascii="PT Astra Serif" w:hAnsi="PT Astra Serif" w:cs="PT Astra Serif"/>
          <w:i/>
          <w:u w:val="single"/>
        </w:rPr>
      </w:r>
      <w:r>
        <w:rPr>
          <w:rFonts w:ascii="PT Astra Serif" w:hAnsi="PT Astra Serif" w:cs="PT Astra Serif"/>
          <w:i/>
          <w:u w:val="single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ind w:left="-426" w:firstLine="709"/>
        <w:jc w:val="center"/>
        <w:spacing w:after="0" w:line="240" w:lineRule="auto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Дата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время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открытого аукциона: 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ind w:left="-426" w:firstLine="709"/>
        <w:jc w:val="center"/>
        <w:spacing w:after="0" w:line="240" w:lineRule="auto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«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21» октября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2024 г.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10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:00 (по МСК.)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г. Краснодар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br w:type="page" w:clear="all"/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sdt>
      <w:sdtPr>
        <w15:appearance w15:val="boundingBox"/>
        <w:id w:val="2036465881"/>
        <w:docPartObj>
          <w:docPartGallery w:val="Table of Contents"/>
          <w:docPartUnique w:val="true"/>
        </w:docPartObj>
        <w:rPr>
          <w:rFonts w:ascii="Times New Roman" w:hAnsi="Times New Roman" w:eastAsia="Times New Roman" w:cs="Times New Roman"/>
          <w:color w:val="auto"/>
          <w:sz w:val="28"/>
          <w:szCs w:val="28"/>
          <w:lang w:eastAsia="en-US"/>
        </w:rPr>
      </w:sdtPr>
      <w:sdtContent>
        <w:p>
          <w:pPr>
            <w:pStyle w:val="863"/>
            <w:jc w:val="center"/>
            <w:spacing w:before="0" w:line="240" w:lineRule="auto"/>
            <w:rPr>
              <w:rFonts w:ascii="PT Astra Serif" w:hAnsi="PT Astra Serif" w:cs="PT Astra Serif"/>
              <w:b/>
              <w:bCs/>
              <w:color w:val="auto"/>
              <w:sz w:val="28"/>
              <w:szCs w:val="28"/>
            </w:rPr>
          </w:pPr>
          <w:r>
            <w:rPr>
              <w:rFonts w:ascii="PT Astra Serif" w:hAnsi="PT Astra Serif" w:eastAsia="PT Astra Serif" w:cs="PT Astra Serif"/>
              <w:b/>
              <w:bCs/>
              <w:color w:val="auto"/>
              <w:sz w:val="28"/>
              <w:szCs w:val="28"/>
            </w:rPr>
            <w:t xml:space="preserve">Оглавление</w:t>
          </w:r>
          <w:r>
            <w:rPr>
              <w:rFonts w:ascii="PT Astra Serif" w:hAnsi="PT Astra Serif" w:cs="PT Astra Serif"/>
              <w:b/>
              <w:bCs/>
              <w:color w:val="auto"/>
              <w:sz w:val="28"/>
              <w:szCs w:val="28"/>
            </w:rPr>
          </w:r>
          <w:r>
            <w:rPr>
              <w:rFonts w:ascii="PT Astra Serif" w:hAnsi="PT Astra Serif" w:cs="PT Astra Serif"/>
              <w:b/>
              <w:bCs/>
              <w:color w:val="auto"/>
              <w:sz w:val="28"/>
              <w:szCs w:val="28"/>
            </w:rPr>
          </w:r>
        </w:p>
        <w:p>
          <w:pPr>
            <w:spacing w:after="0" w:line="240" w:lineRule="auto"/>
            <w:rPr>
              <w:rFonts w:ascii="PT Astra Serif" w:hAnsi="PT Astra Serif" w:cs="PT Astra Serif"/>
              <w:sz w:val="28"/>
              <w:szCs w:val="28"/>
            </w:rPr>
          </w:pPr>
          <w:r>
            <w:rPr>
              <w:rFonts w:ascii="PT Astra Serif" w:hAnsi="PT Astra Serif" w:eastAsia="PT Astra Serif" w:cs="PT Astra Serif"/>
              <w:sz w:val="28"/>
              <w:szCs w:val="28"/>
              <w:lang w:eastAsia="ru-RU"/>
            </w:rPr>
          </w:r>
          <w:r>
            <w:rPr>
              <w:rFonts w:ascii="PT Astra Serif" w:hAnsi="PT Astra Serif" w:cs="PT Astra Serif"/>
              <w:sz w:val="28"/>
              <w:szCs w:val="28"/>
            </w:rPr>
          </w:r>
          <w:r>
            <w:rPr>
              <w:rFonts w:ascii="PT Astra Serif" w:hAnsi="PT Astra Serif" w:cs="PT Astra Serif"/>
              <w:sz w:val="28"/>
              <w:szCs w:val="28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  <w:sz w:val="28"/>
              <w:szCs w:val="28"/>
            </w:rPr>
            <w:fldChar w:fldCharType="begin"/>
          </w:r>
          <w:r>
            <w:rPr>
              <w:rFonts w:ascii="PT Astra Serif" w:hAnsi="PT Astra Serif" w:eastAsia="PT Astra Serif" w:cs="PT Astra Serif"/>
              <w:sz w:val="28"/>
              <w:szCs w:val="28"/>
            </w:rPr>
            <w:instrText xml:space="preserve"> TOC \o "1-3" \h \z \u </w:instrText>
          </w:r>
          <w:r>
            <w:rPr>
              <w:rFonts w:ascii="PT Astra Serif" w:hAnsi="PT Astra Serif" w:eastAsia="PT Astra Serif" w:cs="PT Astra Serif"/>
              <w:sz w:val="28"/>
              <w:szCs w:val="28"/>
            </w:rPr>
            <w:fldChar w:fldCharType="separate"/>
          </w:r>
          <w:hyperlink w:tooltip="#_Toc128319580" w:anchor="_Toc128319580" w:history="1">
            <w:r>
              <w:rPr>
                <w:rStyle w:val="865"/>
                <w:rFonts w:ascii="PT Astra Serif" w:hAnsi="PT Astra Serif" w:eastAsia="PT Astra Serif" w:cs="PT Astra Serif"/>
              </w:rPr>
              <w:t xml:space="preserve">1. Извещение о проведении открытого аукциона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_Toc128319580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3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71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1" w:anchor="_Toc128319581" w:history="1">
            <w:r>
              <w:rPr>
                <w:rStyle w:val="865"/>
                <w:rFonts w:ascii="PT Astra Serif" w:hAnsi="PT Astra Serif" w:eastAsia="PT Astra Serif" w:cs="PT Astra Serif"/>
              </w:rPr>
              <w:t xml:space="preserve">1.1. Основные термины и определения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_Toc128319581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5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2" w:anchor="_Toc128319582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2. Форма заявки на участие в аукционе и инструкцию по ее заполнению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_Toc128319582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7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3" w:anchor="_Toc128319583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3. Срок подачи заявок на участие в аукционе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_Toc128319583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7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4" w:anchor="_Toc128319584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4. Перечень документов, прилагаемых к заявке на участие в аукционе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_Toc128319584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7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5" w:anchor="_Toc128319585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5. Сведения о порядке и сроках отзыва заявок на участие в аукционе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_Toc128319585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8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6" w:anchor="_Toc128319586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6. Сведения о месте и дате рассмотрения заявок на участие в аукционе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_Toc128319586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8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7" w:anchor="_Toc128319587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7. Порядок, даты начала и окончания предоставления участникам аукциона разъяснений положений документации об аукционе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_Toc128319587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8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8" w:anchor="_Toc128319588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8. Место, дата и время проведения аукциона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_Toc128319588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9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9" w:anchor="_Toc128319589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9. Требования к участникам аукциона, в том числе требование об отсутствии участников в реестре недобросовестных участников аукциона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_Toc128319589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9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0" w:anchor="_Toc128319590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10. Размер задатка, срок и порядок внесения задатка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_Toc128319590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9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1" w:anchor="_Toc128319591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11. Проект договора о предоставлении права на размещение НТО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_Toc128319591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10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2" w:anchor="_Toc128319592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12. Сведения о порядке определения победителя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_Toc128319592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14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3" w:anchor="_Toc128319593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13. Начальный (минимальный) размер стоимости договора о предоставлении права на размещение НТО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_Toc128319593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16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4" w:anchor="_Toc128319594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14. Сведения о сроке оплаты права на заключение договора о предоставлении права на размещение НТО на территории муниципального образования город Краснодар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_Toc128319594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16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5" w:anchor="_Toc128319595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15. Величина повышения начальной цены договора о предоставлении права на размещение НТО («шаг аукциона»)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_Toc128319595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17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6" w:anchor="_Toc128319596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16. Сведения о сроке, в течение которого должен быть подписан договор о предоставлении права на размещение НТО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_Toc128319596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17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7" w:anchor="_Toc128319597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17. Архитектурное решение НТО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_Toc128319597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17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8" w:anchor="_Toc128319598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18. Специализация НТО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_Toc128319598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17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9" w:anchor="_Toc128319599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19. Период и срок размещения НТО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_Toc128319599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17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600" w:anchor="_Toc128319600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20. Сведения о проведении аукциона среди субъектов малого или среднего предпринимательства, осуществляющих торговую деятельность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_Toc128319600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18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601" w:anchor="_Toc128319601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21. Иная информация, касающаяся проведения аукциона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_Toc128319601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18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rPr>
              <w:rStyle w:val="865"/>
              <w:rFonts w:ascii="PT Astra Serif" w:hAnsi="PT Astra Serif" w:cs="PT Astra Serif"/>
              <w:b/>
              <w:color w:val="auto"/>
            </w:rPr>
          </w:pPr>
          <w:r>
            <w:rPr>
              <w:rFonts w:ascii="PT Astra Serif" w:hAnsi="PT Astra Serif" w:eastAsia="PT Astra Serif" w:cs="PT Astra Serif" w:eastAsiaTheme="minorEastAsia"/>
              <w:b/>
              <w:u w:val="single"/>
            </w:rPr>
            <w:t xml:space="preserve">П</w:t>
          </w:r>
          <w:r>
            <w:rPr>
              <w:rStyle w:val="865"/>
              <w:rFonts w:ascii="PT Astra Serif" w:hAnsi="PT Astra Serif" w:eastAsia="PT Astra Serif" w:cs="PT Astra Serif" w:eastAsiaTheme="minorHAnsi"/>
              <w:b/>
              <w:color w:val="auto"/>
            </w:rPr>
            <w:t xml:space="preserve">риложение № 1   Список объектов</w:t>
          </w:r>
          <w:r>
            <w:rPr>
              <w:rStyle w:val="865"/>
              <w:rFonts w:ascii="PT Astra Serif" w:hAnsi="PT Astra Serif" w:cs="PT Astra Serif"/>
              <w:b/>
              <w:color w:val="auto"/>
            </w:rPr>
          </w:r>
          <w:r>
            <w:rPr>
              <w:rStyle w:val="865"/>
              <w:rFonts w:ascii="PT Astra Serif" w:hAnsi="PT Astra Serif" w:cs="PT Astra Serif"/>
              <w:b/>
              <w:color w:val="auto"/>
            </w:rPr>
          </w:r>
        </w:p>
        <w:p>
          <w:pPr>
            <w:rPr>
              <w:rStyle w:val="865"/>
              <w:rFonts w:ascii="PT Astra Serif" w:hAnsi="PT Astra Serif" w:cs="PT Astra Serif"/>
              <w:b/>
              <w:color w:val="auto"/>
            </w:rPr>
          </w:pPr>
          <w:r>
            <w:rPr>
              <w:rStyle w:val="865"/>
              <w:rFonts w:ascii="PT Astra Serif" w:hAnsi="PT Astra Serif" w:eastAsia="PT Astra Serif" w:cs="PT Astra Serif" w:eastAsiaTheme="minorHAnsi"/>
              <w:b/>
              <w:color w:val="auto"/>
            </w:rPr>
            <w:t xml:space="preserve">Приложение № 2  Форма заявки участия в аукционе</w:t>
          </w:r>
          <w:r>
            <w:rPr>
              <w:rFonts w:ascii="PT Astra Serif" w:hAnsi="PT Astra Serif" w:eastAsia="PT Astra Serif" w:cs="PT Astra Serif"/>
              <w:b/>
              <w:bCs/>
              <w:sz w:val="28"/>
              <w:szCs w:val="28"/>
            </w:rPr>
            <w:fldChar w:fldCharType="end"/>
          </w:r>
          <w:r>
            <w:rPr>
              <w:rStyle w:val="865"/>
              <w:rFonts w:ascii="PT Astra Serif" w:hAnsi="PT Astra Serif" w:cs="PT Astra Serif"/>
              <w:b/>
              <w:color w:val="auto"/>
            </w:rPr>
          </w:r>
          <w:r>
            <w:rPr>
              <w:rStyle w:val="865"/>
              <w:rFonts w:ascii="PT Astra Serif" w:hAnsi="PT Astra Serif" w:cs="PT Astra Serif"/>
              <w:b/>
              <w:color w:val="auto"/>
            </w:rPr>
          </w:r>
        </w:p>
      </w:sdtContent>
    </w:sdt>
    <w:p>
      <w:pPr>
        <w:spacing w:after="0" w:line="240" w:lineRule="auto"/>
        <w:rPr>
          <w:rFonts w:ascii="PT Astra Serif" w:hAnsi="PT Astra Serif" w:cs="PT Astra Serif"/>
          <w:b/>
          <w:sz w:val="28"/>
          <w:szCs w:val="20"/>
        </w:rPr>
      </w:pPr>
      <w:r>
        <w:rPr>
          <w:rFonts w:ascii="PT Astra Serif" w:hAnsi="PT Astra Serif" w:eastAsia="PT Astra Serif" w:cs="PT Astra Serif"/>
        </w:rPr>
        <w:br w:type="page" w:clear="all"/>
      </w:r>
      <w:r>
        <w:rPr>
          <w:rFonts w:ascii="PT Astra Serif" w:hAnsi="PT Astra Serif" w:cs="PT Astra Serif"/>
          <w:b/>
          <w:sz w:val="28"/>
          <w:szCs w:val="20"/>
        </w:rPr>
      </w:r>
      <w:r>
        <w:rPr>
          <w:rFonts w:ascii="PT Astra Serif" w:hAnsi="PT Astra Serif" w:cs="PT Astra Serif"/>
          <w:b/>
          <w:sz w:val="28"/>
          <w:szCs w:val="20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1" w:name="_Toc128319580"/>
      <w:r>
        <w:rPr>
          <w:rFonts w:ascii="PT Astra Serif" w:hAnsi="PT Astra Serif" w:eastAsia="PT Astra Serif" w:cs="PT Astra Serif"/>
        </w:rPr>
        <w:t xml:space="preserve">1. Извещение о проведении открытого аукциона</w:t>
      </w:r>
      <w:bookmarkEnd w:id="1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9990" w:type="dxa"/>
        <w:tblInd w:w="-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614"/>
        <w:gridCol w:w="3260"/>
        <w:gridCol w:w="6116"/>
      </w:tblGrid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Наименование организатора аукциона, его место нахождение, почтовый адрес, адрес электронной почты, номер контактного телефона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Управление торговли и бытового обслуживания населения администрации муниципального образования город Краснодар (далее – управление торговли);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Краснодар,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Кузнечная, 6;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</w:rPr>
            </w:r>
            <w:hyperlink r:id="rId11" w:tooltip="mailto:dpr@krd.ru" w:history="1"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  <w:lang w:val="en-US"/>
                </w:rPr>
                <w:t xml:space="preserve">dpr</w:t>
              </w:r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</w:rPr>
                <w:t xml:space="preserve">@</w:t>
              </w:r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  <w:lang w:val="en-US"/>
                </w:rPr>
                <w:t xml:space="preserve">krd</w:t>
              </w:r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</w:rPr>
                <w:t xml:space="preserve">.</w:t>
              </w:r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; 8(861)2189818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311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Форма проведения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Открытый аукцион в электронной форме на право заключения договора о предоставлении права на размещение нестационарных торговых объектов на территории муниципального образования город Краснодар (далее – аукцион)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Дата, время, место проведения аукциона</w:t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21.10.2024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 10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:00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lang w:val="ru-RU"/>
              </w:rPr>
              <w:t xml:space="preserve">Электронная площадка: </w:t>
            </w:r>
            <w:hyperlink r:id="rId12" w:tooltip="https://www.roseltorg.ru" w:history="1">
              <w:r>
                <w:rPr>
                  <w:rFonts w:ascii="PT Astra Serif" w:hAnsi="PT Astra Serif" w:eastAsia="PT Astra Serif" w:cs="PT Astra Serif"/>
                  <w:b/>
                  <w:bCs/>
                  <w:sz w:val="24"/>
                  <w:szCs w:val="24"/>
                  <w:lang w:val="ru-RU"/>
                </w:rPr>
                <w:t xml:space="preserve">https://www.roseltorg.ru</w:t>
              </w:r>
            </w:hyperlink>
            <w:r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Предмет аукциона (с ука-занием лотов, количества НТО и мест их размещения)</w:t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</w:tc>
        <w:tc>
          <w:tcPr>
            <w:tcW w:w="611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   </w:t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  <w:p>
            <w:pPr>
              <w:pStyle w:val="870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  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  <w:p>
            <w:pP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  <w:p>
            <w:pP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Приложение № 1 к извещению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r/>
            <w:r/>
          </w:p>
          <w:p>
            <w:r/>
            <w:r/>
          </w:p>
          <w:p>
            <w:r/>
            <w:r/>
          </w:p>
        </w:tc>
      </w:tr>
      <w:tr>
        <w:tblPrEx/>
        <w:trPr>
          <w:trHeight w:val="366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Минимальный ш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аг аукциона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Начальный (минимальный) размер стоимости договора о предоставлении права на размещение НТО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Размер обеспечения заявки (задатка)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  <w:t xml:space="preserve">Порядок ознакомления претендентов на участие в аукционе с содержанием документации об аукционе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870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  <w:t xml:space="preserve">официальный Интернет-портал администрации муниципального образования город Краснодар и городской Думы Краснодара (далее – интернет-портал)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  <w:t xml:space="preserve">сайт электронной площадки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Адрес Интернет-портала и сайта электронной площадки, на котором размещена документация об аукционе;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870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  <w:t xml:space="preserve">Интернет-портал: </w:t>
            </w:r>
            <w:hyperlink r:id="rId13" w:tooltip="https://krd.ru/" w:history="1"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</w:rPr>
                <w:t xml:space="preserve">https</w:t>
              </w:r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</w:rPr>
                <w:t xml:space="preserve">krd</w:t>
              </w:r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</w:rPr>
                <w:t xml:space="preserve">ru</w:t>
              </w:r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  <w:lang w:val="ru-RU"/>
                </w:rPr>
                <w:t xml:space="preserve">/</w:t>
              </w:r>
            </w:hyperlink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  <w:t xml:space="preserve">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  <w:t xml:space="preserve">Электронная площадка: </w:t>
            </w:r>
            <w:hyperlink r:id="rId14" w:tooltip="https://www.roseltorg.ru" w:history="1"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  <w:lang w:val="ru-RU"/>
                </w:rPr>
                <w:t xml:space="preserve">https://www.roseltorg.ru</w:t>
              </w:r>
            </w:hyperlink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Порядок предоставления разъяснений документации об аукционе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Претендент на участие в аукционе вправе направить организатору аукциона запрос о разъяснении положений документации об аукционе. В течение 2 рабочих дней со дня поступления указанного за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проса организатор аукциона обязан направить в письменной форме разъяснения положений документации об аукционе, если указанный запрос поступил организатору аукциона не позднее чем за 5 рабочих дней до дня окончания срока подачи заявок на участие в аукционе.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о быть ра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змещено управлением торговли на сайте электронной площадки с указанием предмета запроса, но без указания информации о претенденте на участие в аукционе, от которого поступил запрос. Разъяснение положений документации об аукционе не должно изменять ее суть.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Порядок оформления заявок, даты начала и окончания приёма заявок на участие в аукционе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Для участия в аукционе претендент, получивший аккредитацию на электронной площадке, подает заявку на участие в аукционе.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Претендент на участие в аукционе вправе подать организатору торгов з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аявку на участие в аукционе в любое время с момента размещения на сайте электронной площадки и интернет-портале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Претендент на участие в аукционе представляет на электронную площадку: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1) заявку на участие в аукционе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 согласно приложению №2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, подписанную электронной подписью претендента на участие в аукционе и содержащую следующую информацию: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для юридического лица - сведения о претенденте на участие в аукционе (включая почтовый адрес, номер телефона, фамилию, имя, отчество руководителя и (или) ответственного исполнителя);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для индивидуального предпринимателя и самозанятого физического лица - фамилию, имя, отчество, паспортные данные, сведения о месте жительства, банковские реквизиты и информацию о налоговом органе;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сведения об отсутствии решения о ликвидации заявителя - юридического лица, об отсутствии решения арбитражного суда о признании претендента - юри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дического лица, индивидуального 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предпринимателя и самозанятого физического лица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2) документ, подтверждающий полномочия лица на осуще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ствление действий от имени претендента на участие в аукционе - юридического лица (копия решения (приказа) о назначении или об избрании на должность, в соответствии с которым такое физическое лицо обладает правом действовать от имени претендента на участие 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в аукционе без доверенности. В случае если от имени претендента на участие в аукционе действует иное лицо, заявка на участие в аукционе должна содержать также доверенность на осуществление действий от имени претендента на участие в аукционе или нотариально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 заверенную копию такой доверенности. В случае если указанная доверенность подписана лицом, уполномоченным руководителем претендента на участие в аукционе, заявка на участие в аукционе должна содержать также документ, подтверждающий полномочия такого лица;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3) учредительные документы претендента на участие в аукционе (для юридического лица);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4) справку о постановке на учёт (снятии с учёта) физического лица в качестве налогоплательщика налога на профессиональный доход (форма КНД 1122035) (для самозанятого физического лица).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  <w:highlight w:val="none"/>
              </w:rPr>
              <w:t xml:space="preserve">Претендент на участие в аукционе подаёт только одну заявку на участие в аукционе в отношении одного лота.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  <w:highlight w:val="none"/>
              </w:rPr>
              <w:t xml:space="preserve">Заявка на участие в аукционе направляется претендентом на участие в аукционе из личного кабинета электронной площадки.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ретендент для участия в аукционе, в срок не позднее дня подачи заявки на участие в аукционе вносит денежные сре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дства в качестве обеспечения заявки на участие в аукционе (задаток) на счёт, открытый для проведения операций по обеспечению участия в аукционах.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Д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ат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а начала приёма заявок: 26.09.2024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Дата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 оконча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ния приёма заявок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: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11.10.2024 12:00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Место, дата и время рассмотрения заявок и подведение итогов</w:t>
            </w:r>
            <w:r>
              <w:rPr>
                <w:rFonts w:ascii="PT Astra Serif" w:hAnsi="PT Astra Serif" w:cs="PT Astra Serif"/>
                <w:color w:val="ff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ff0000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Управление торговли, ул. Кузнечная, 6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Допуск претендентов к участию в аукционе: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: 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highlight w:val="none"/>
              </w:rPr>
              <w:t xml:space="preserve">16.10.2024 в 11:00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Подведение итогов аукциона: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color w:val="ff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Дата: 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highlight w:val="none"/>
              </w:rPr>
              <w:t xml:space="preserve">22.10.2024 в 11:00</w:t>
            </w:r>
            <w:r>
              <w:rPr>
                <w:rFonts w:ascii="PT Astra Serif" w:hAnsi="PT Astra Serif" w:cs="PT Astra Serif"/>
                <w:color w:val="ff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ff0000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Порядок определения победителя аукциона или победителя, уклонившегося от заключения договора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Аукционная комиссия определяет победителя аукциона, заявившего максимальное предложение стоимости права на заключение договора о предоставлении права на размещение НТО, и ранжирует заявки других участников аукциона по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 мере убывания стоимости права на заключение договора о предоставлении права на размещение НТО с указанием порядковых номеров, присвоенных заявкам на участие в аукционе, поданным участниками аукциона, сделавшими соответствующие предложения о цене аукциона.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По результатам определения победителя аукциона и ранжирования заявок других участников аукциона аукционной комиссией в течение трёх рабочих дней оформляется протокол о результатах аукциона.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contextualSpacing w:val="0"/>
              <w:jc w:val="both"/>
              <w:spacing w:after="0" w:line="240" w:lineRule="auto"/>
              <w:widowControl w:val="off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Протокол о результатах аукциона в течение трёх рабочих дней с момента его оформления направляется аукционной комиссией в управление торговли и бытового обслуживания населения администрации 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муниципального 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образования город Краснодар.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Способ уведомления об итогах проведения аукциона</w:t>
            </w:r>
            <w:r>
              <w:rPr>
                <w:rFonts w:ascii="PT Astra Serif" w:hAnsi="PT Astra Serif" w:cs="PT Astra Serif"/>
                <w:color w:val="ff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ff0000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870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  <w:lang w:val="ru-RU"/>
              </w:rPr>
              <w:t xml:space="preserve">Управление торговли в течение одного рабочего дня с момента поступления протокола о результатах аукциона размещает его на сайте электронной площадки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60"/>
        <w:rPr>
          <w:rFonts w:ascii="PT Astra Serif" w:hAnsi="PT Astra Serif" w:cs="PT Astra Serif"/>
          <w:highlight w:val="none"/>
        </w:rPr>
        <w:outlineLvl w:val="1"/>
      </w:pPr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cs="PT Astra Serif"/>
          <w:highlight w:val="none"/>
        </w:rPr>
      </w:r>
      <w:r>
        <w:rPr>
          <w:rFonts w:ascii="PT Astra Serif" w:hAnsi="PT Astra Serif" w:cs="PT Astra Serif"/>
          <w:highlight w:val="none"/>
        </w:rPr>
      </w:r>
    </w:p>
    <w:p>
      <w:pPr>
        <w:pStyle w:val="860"/>
        <w:rPr>
          <w:rFonts w:ascii="PT Astra Serif" w:hAnsi="PT Astra Serif" w:eastAsia="PT Astra Serif" w:cs="PT Astra Serif"/>
          <w:highlight w:val="none"/>
        </w:rPr>
        <w:outlineLvl w:val="1"/>
      </w:pPr>
      <w:r>
        <w:rPr>
          <w:rFonts w:ascii="PT Astra Serif" w:hAnsi="PT Astra Serif" w:eastAsia="PT Astra Serif" w:cs="PT Astra Serif"/>
        </w:rPr>
      </w:r>
      <w:bookmarkStart w:id="2" w:name="_Toc128319581"/>
      <w:r>
        <w:rPr>
          <w:rFonts w:ascii="PT Astra Serif" w:hAnsi="PT Astra Serif" w:eastAsia="PT Astra Serif" w:cs="PT Astra Serif"/>
        </w:rPr>
        <w:t xml:space="preserve">1.1. Основные термины и определения</w:t>
      </w:r>
      <w:bookmarkEnd w:id="2"/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eastAsia="PT Astra Serif" w:cs="PT Astra Serif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Для целей настояще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й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документации об 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аукцион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е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 применяются следующие основные термины и определения:</w:t>
      </w:r>
      <w:r>
        <w:rPr>
          <w:rFonts w:ascii="PT Astra Serif" w:hAnsi="PT Astra Serif" w:cs="PT Astra Serif"/>
          <w:color w:val="000000"/>
          <w:sz w:val="24"/>
          <w:szCs w:val="24"/>
        </w:rPr>
      </w:r>
      <w:r>
        <w:rPr>
          <w:rFonts w:ascii="PT Astra Serif" w:hAnsi="PT Astra Serif" w:cs="PT Astra Serif"/>
          <w:color w:val="00000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аккредитация - предоставление участнику в порядке, установленном регламентом электронной площадки, возможности работы в закрытой части автоматизированной системы оператора электронной площадки;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аукционная комиссия - коллегиальный орган, создан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ный для проведения открытого аукциона на право заключения договора о предоставлении права на размещение НТО и определения победителей аукциона. Состав аукционной комиссии утверждается постановлением администрации муниципального образования город Краснодар;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i/>
          <w:color w:val="000000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инициатор и организатор торгов - администрация муниципального образования город Краснодар, в лице управления торговли и бытового обслуживания населения администрации муниципального образования город Краснодар (далее - управление);</w:t>
      </w:r>
      <w:r>
        <w:rPr>
          <w:rFonts w:ascii="PT Astra Serif" w:hAnsi="PT Astra Serif" w:eastAsia="PT Astra Serif" w:cs="PT Astra Serif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PT Astra Serif" w:hAnsi="PT Astra Serif" w:cs="PT Astra Serif"/>
          <w:i/>
          <w:color w:val="000000"/>
          <w:sz w:val="24"/>
          <w:szCs w:val="24"/>
        </w:rPr>
      </w:r>
      <w:r>
        <w:rPr>
          <w:rFonts w:ascii="PT Astra Serif" w:hAnsi="PT Astra Serif" w:cs="PT Astra Serif"/>
          <w:i/>
          <w:color w:val="00000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нестационарный торговый объект (НТО) - торговый объект, представляющий собой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оператор электронной площадки - юридическое лицо независимо от его организационно-правовой формы, формы собственности, места нахож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дения или индивидуальный предприниматель, которые владеют электронной площадкой, необходимыми для её функционирования программно-аппаратными средствами и обеспечивают проведение электронных аукционов в соответствии с законодательством Российской Федерации;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открытый аукцион в электронной форме на право заключения договора о предоставлении права на размещение НТО на территории муниципального образования город Краснодар (аукцион) -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способ определения субъекта торговли, при котором победителем признаётся участник аукциона, предложивший наиболее высокую цену за право на заключение договора о предоставлении права на размещение НТО, а также в случаях, установленных Порядком организации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и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проведения открытого аукциона в электронной форме на право заключения договора о предоставлении права на размещение НТО на территории муниципального образования город Краснодар, утверждённым постановлением адм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инистрации муниципального образования город Краснодар от 17.08.2022 № 3734 «О размещении нестационарных торговых объектов на территории муниципального образования город Краснодар», единственный участник аукциона (далее - победитель аукциона);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официальный источник публикации информации о проведении аукциона - официальный Интернет-портал администрации муниципального образования город Краснодар и городской Думы Краснодара: </w:t>
      </w:r>
      <w:hyperlink r:id="rId15" w:tooltip="http://www.krd.ru" w:history="1">
        <w:r>
          <w:rPr>
            <w:rStyle w:val="865"/>
            <w:rFonts w:ascii="PT Astra Serif" w:hAnsi="PT Astra Serif" w:eastAsia="PT Astra Serif" w:cs="PT Astra Serif"/>
            <w:sz w:val="24"/>
            <w:szCs w:val="24"/>
          </w:rPr>
          <w:t xml:space="preserve">www.krd.ru</w:t>
        </w:r>
      </w:hyperlink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(далее - Интернет-порт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ал) и сайт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электронной площадки: </w:t>
      </w:r>
      <w:hyperlink r:id="rId16" w:tooltip="https://www.roseltorg.ru" w:history="1">
        <w:r>
          <w:rPr>
            <w:rStyle w:val="865"/>
            <w:rFonts w:ascii="PT Astra Serif" w:hAnsi="PT Astra Serif" w:eastAsia="PT Astra Serif" w:cs="PT Astra Serif"/>
            <w:sz w:val="24"/>
            <w:szCs w:val="24"/>
          </w:rPr>
          <w:t xml:space="preserve">https://www.roseltorg.ru</w:t>
        </w:r>
      </w:hyperlink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претендент на участие в аукционе - лицо, подавшее заявку на участие в аукционе;</w:t>
      </w:r>
      <w:r>
        <w:rPr>
          <w:rFonts w:ascii="PT Astra Serif" w:hAnsi="PT Astra Serif" w:eastAsia="PT Astra Serif" w:cs="PT Astra Serif"/>
          <w:color w:val="000000"/>
          <w:sz w:val="24"/>
          <w:szCs w:val="24"/>
          <w:lang w:eastAsia="ru-RU"/>
        </w:rPr>
        <w:t xml:space="preserve"> </w:t>
      </w:r>
      <w:r>
        <w:rPr>
          <w:rFonts w:ascii="PT Astra Serif" w:hAnsi="PT Astra Serif" w:cs="PT Astra Serif"/>
          <w:color w:val="000000"/>
          <w:sz w:val="24"/>
          <w:szCs w:val="24"/>
        </w:rPr>
      </w:r>
      <w:r>
        <w:rPr>
          <w:rFonts w:ascii="PT Astra Serif" w:hAnsi="PT Astra Serif" w:cs="PT Astra Serif"/>
          <w:color w:val="00000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регламент электронной площадки - документ, определяющий процедуру проведения аукциона на электронной площадке;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счёт участника аукциона - счёт, открываемый оператором электронной площадки на основании заявления участника после прохождения процедуры аккредитации на электронной площадке;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участник аукциона - юридическое лицо, индивидуальный предприниматель или самозанятое физическое лицо, подавшие заявку на участие в аукционе и допущенные к участию в аукционе;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электронный документ - документ, в котором информация представлена в электронно-цифровой форме, в том числе сканированные версии бумажных документов;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эл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ектронная подпись -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4" w:name="_Toc128319582"/>
      <w:r>
        <w:rPr>
          <w:rFonts w:ascii="PT Astra Serif" w:hAnsi="PT Astra Serif" w:eastAsia="PT Astra Serif" w:cs="PT Astra Serif" w:eastAsiaTheme="minorHAnsi"/>
        </w:rPr>
        <w:t xml:space="preserve">2. Форма заявки на участие в аукционе и инструкцию по ее заполнению</w:t>
      </w:r>
      <w:bookmarkEnd w:id="4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/>
          <w:sz w:val="24"/>
        </w:rPr>
        <w:t xml:space="preserve">Заявка на участие в аукционе соответствует форме, установленной приложением </w:t>
      </w:r>
      <w:r>
        <w:rPr>
          <w:rFonts w:ascii="PT Astra Serif" w:hAnsi="PT Astra Serif" w:eastAsia="PT Astra Serif" w:cs="PT Astra Serif"/>
          <w:sz w:val="24"/>
        </w:rPr>
        <w:t xml:space="preserve">    </w:t>
      </w:r>
      <w:r>
        <w:rPr>
          <w:rFonts w:ascii="PT Astra Serif" w:hAnsi="PT Astra Serif" w:eastAsia="PT Astra Serif" w:cs="PT Astra Serif"/>
          <w:sz w:val="24"/>
        </w:rPr>
        <w:t xml:space="preserve">№ </w:t>
      </w:r>
      <w:r>
        <w:rPr>
          <w:rFonts w:ascii="PT Astra Serif" w:hAnsi="PT Astra Serif" w:eastAsia="PT Astra Serif" w:cs="PT Astra Serif"/>
          <w:sz w:val="24"/>
        </w:rPr>
        <w:t xml:space="preserve">2</w:t>
      </w:r>
      <w:r>
        <w:rPr>
          <w:rFonts w:ascii="PT Astra Serif" w:hAnsi="PT Astra Serif" w:eastAsia="PT Astra Serif" w:cs="PT Astra Serif"/>
          <w:sz w:val="24"/>
        </w:rPr>
        <w:t xml:space="preserve"> к документации об аукционе.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5" w:name="_Toc128319583"/>
      <w:r>
        <w:rPr>
          <w:rFonts w:ascii="PT Astra Serif" w:hAnsi="PT Astra Serif" w:eastAsia="PT Astra Serif" w:cs="PT Astra Serif" w:eastAsiaTheme="minorHAnsi"/>
        </w:rPr>
        <w:t xml:space="preserve">3. Срок подачи заявок на участие в аукционе</w:t>
      </w:r>
      <w:bookmarkEnd w:id="5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Для участия в аукционе претендент, получивший аккредитацию на электронной площадке, подает заявку на участие в аукционе.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Претендент на участие в аукционе вправе подать организатору торгов з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аявку на участие в аукционе в любое время с момента размещения на сайте электронной площадки и Интернет-портале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  <w:u w:val="single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Срок подачи заявок на участие в аукционе: </w:t>
      </w:r>
      <w:r>
        <w:rPr>
          <w:rFonts w:ascii="PT Astra Serif" w:hAnsi="PT Astra Serif" w:eastAsia="PT Astra Serif" w:cs="PT Astra Serif" w:eastAsiaTheme="minorHAnsi"/>
          <w:bCs/>
          <w:sz w:val="24"/>
          <w:u w:val="single"/>
        </w:rPr>
        <w:t xml:space="preserve">с 26.09.2024 по 11.10.2024</w:t>
      </w:r>
      <w:r>
        <w:rPr>
          <w:rFonts w:ascii="PT Astra Serif" w:hAnsi="PT Astra Serif" w:cs="PT Astra Serif"/>
          <w:bCs/>
          <w:sz w:val="24"/>
          <w:u w:val="single"/>
        </w:rPr>
      </w:r>
      <w:r>
        <w:rPr>
          <w:rFonts w:ascii="PT Astra Serif" w:hAnsi="PT Astra Serif" w:cs="PT Astra Serif"/>
          <w:bCs/>
          <w:sz w:val="24"/>
          <w:u w:val="single"/>
        </w:rPr>
      </w:r>
    </w:p>
    <w:p>
      <w:pPr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6" w:name="_Toc128319584"/>
      <w:r>
        <w:rPr>
          <w:rFonts w:ascii="PT Astra Serif" w:hAnsi="PT Astra Serif" w:eastAsia="PT Astra Serif" w:cs="PT Astra Serif" w:eastAsiaTheme="minorHAnsi"/>
        </w:rPr>
        <w:t xml:space="preserve">4. Перечень документов, прилагаемых к заявке на участие в аукционе</w:t>
      </w:r>
      <w:bookmarkEnd w:id="6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Претендент на участие в аукционе представляет на электронную площадку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: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1) заявку на участие в аукционе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 согласно приложению №2 к аукционной документации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, подписанную электронной подписью претендента на участие в аукционе и содержащую следующую информацию: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для юридического лица - сведения о претенденте на участие в аукционе (включая почтовый адрес, номер телефона, фамилию, имя, отчество руководителя и (или) ответственного исполнителя);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для индивидуального предпринимателя и самозанятого физического лица - фамилию, имя, отчество, паспортные данные, сведения о месте жительства, банковские реквизиты и информацию о налоговом органе;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сведения об отсутствии решения о ликвидации заявителя - юридического лица, об отсутствии решения арбитражного суда о признании претендента - юри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дического лица, индивидуального п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редпринимателя  и самозанятого физического лица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правонарушениях;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PT Astra Serif" w:hAnsi="PT Astra Serif" w:cs="PT Astra Serif" w:eastAsiaTheme="minorHAnsi"/>
          <w:sz w:val="24"/>
          <w:szCs w:val="24"/>
        </w:rPr>
        <w:suppressLineNumbers w:val="0"/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2) документ, подтверждающий полномочия лица на осуще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ствление действий от имени претендента на участие в аукционе - юридического лица (копия решения (приказа) о назначении или об избрании на должность, в соответствии с которым такое физическое лицо обладает правом действовать от имени претендента на участие 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аукционе без доверенности. В случае если от имени претендента на участие в аукционе действует иное лицо, заявка на участие в аукционе должна содержать также доверенность на осуществление действий от имени претендента на участие в аукционе или нотариально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 заверенную копию такой доверенности. В случае если указанная доверенность подписана лицом, уполномоченным руководителем претендента на участие в аукционе, заявка на участие в аукционе должна содержать также документ, подтверждающий полномочия такого лица;</w:t>
      </w:r>
      <w:r>
        <w:rPr>
          <w:rFonts w:ascii="PT Astra Serif" w:hAnsi="PT Astra Serif" w:cs="PT Astra Serif" w:eastAsiaTheme="minorHAnsi"/>
          <w:sz w:val="24"/>
          <w:szCs w:val="24"/>
        </w:rPr>
      </w:r>
      <w:r>
        <w:rPr>
          <w:rFonts w:ascii="PT Astra Serif" w:hAnsi="PT Astra Serif" w:cs="PT Astra Serif" w:eastAsiaTheme="minorHAnsi"/>
          <w:sz w:val="24"/>
          <w:szCs w:val="24"/>
        </w:rPr>
      </w:r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PT Astra Serif" w:hAnsi="PT Astra Serif" w:cs="PT Astra Serif"/>
          <w:sz w:val="24"/>
          <w:szCs w:val="24"/>
        </w:rPr>
        <w:suppressLineNumbers w:val="0"/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3) учредительные документы претендента на участие в аукционе (для юридического лица);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  <w:highlight w:val="none"/>
        </w:rPr>
        <w:t xml:space="preserve">4) справку о постановке на учёт (снятии с учёта) физического лица в качестве налогоплательщика налога на профессиональный доход (форма КНД 1122035) (для самозанятого физического лица).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Претендент на участие в аукционе подает только одну заявку на участие в аукционе в отношении одного лота.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Заявка на участие в аукционе направляется претендентом на участие в аукционе из личного кабинета электронной площадки.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7" w:name="_Toc128319585"/>
      <w:r>
        <w:rPr>
          <w:rFonts w:ascii="PT Astra Serif" w:hAnsi="PT Astra Serif" w:eastAsia="PT Astra Serif" w:cs="PT Astra Serif" w:eastAsiaTheme="minorHAnsi"/>
        </w:rPr>
        <w:t xml:space="preserve">5. Сведения о порядке и сроках отзыва заявок на участие в аукционе</w:t>
      </w:r>
      <w:bookmarkEnd w:id="7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Претендент на участие в аукционе, подавший заявку на участие в аукционе, вправе отозвать такую заявку не позднее окончания срока подачи заявок, направив об этом уведомление в управление посредством ф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ункционала электронной площадки.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Любой участник аукциона, з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а исключением участников, занявших первые два места в соответствии с протоколом о результатах аукциона, вправе отозвать свою заявку, направив уведомление об этом оператору электронной площадки с момента размещения на сайте протокола о результатах аукциона.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течение одного рабочего дня со дня поступления уведомления об отзыве заявки оператор электронной площадки прекращает осуществлённое блокирование операций по счёту для проведения опе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раций по обеспечению участия в аукционах участника в отношении денежных средств в размере обеспечения заявки на участие в аукционе и исключает данную заявку из реестра заявок аукциона. При этом регистрационные номера заявок других участников не изменяются.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8" w:name="_Toc128319586"/>
      <w:r>
        <w:rPr>
          <w:rFonts w:ascii="PT Astra Serif" w:hAnsi="PT Astra Serif" w:eastAsia="PT Astra Serif" w:cs="PT Astra Serif" w:eastAsiaTheme="minorHAnsi"/>
        </w:rPr>
        <w:t xml:space="preserve">6. Сведения о месте и дате рассмотрения заявок на участие в аукционе</w:t>
      </w:r>
      <w:bookmarkEnd w:id="8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bCs/>
        </w:rPr>
      </w:pPr>
      <w:r>
        <w:rPr>
          <w:rFonts w:ascii="PT Astra Serif" w:hAnsi="PT Astra Serif" w:eastAsia="PT Astra Serif" w:cs="PT Astra Serif" w:eastAsiaTheme="minorHAnsi"/>
          <w:bCs/>
        </w:rPr>
      </w:r>
      <w:r>
        <w:rPr>
          <w:rFonts w:ascii="PT Astra Serif" w:hAnsi="PT Astra Serif" w:cs="PT Astra Serif"/>
          <w:bCs/>
        </w:rPr>
      </w:r>
      <w:r>
        <w:rPr>
          <w:rFonts w:ascii="PT Astra Serif" w:hAnsi="PT Astra Serif" w:cs="PT Astra Serif"/>
          <w:bCs/>
        </w:rPr>
      </w:r>
    </w:p>
    <w:p>
      <w:pPr>
        <w:pStyle w:val="856"/>
        <w:contextualSpacing w:val="0"/>
        <w:ind w:left="0"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Управление торговли и бытового обслуживания населения администрации муниципального образования город Краснодар, ул. Кузнечная, 6.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56"/>
        <w:contextualSpacing w:val="0"/>
        <w:ind w:left="0" w:firstLine="708"/>
        <w:jc w:val="both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Дата и время рассмотрения заявок: </w:t>
      </w:r>
      <w:r>
        <w:rPr>
          <w:rFonts w:ascii="PT Astra Serif" w:hAnsi="PT Astra Serif" w:eastAsia="PT Astra Serif" w:cs="PT Astra Serif"/>
          <w:b/>
          <w:bCs/>
          <w:sz w:val="24"/>
          <w:szCs w:val="24"/>
          <w:highlight w:val="none"/>
          <w:u w:val="single"/>
        </w:rPr>
        <w:t xml:space="preserve">16.10.2024</w:t>
      </w:r>
      <w:r>
        <w:rPr>
          <w:rFonts w:ascii="PT Astra Serif" w:hAnsi="PT Astra Serif" w:eastAsia="PT Astra Serif" w:cs="PT Astra Serif"/>
          <w:b/>
          <w:bCs/>
          <w:sz w:val="24"/>
          <w:szCs w:val="24"/>
          <w:highlight w:val="none"/>
          <w:u w:val="single"/>
        </w:rPr>
        <w:t xml:space="preserve"> в 11:00.</w:t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</w:rPr>
      </w:pPr>
      <w:r>
        <w:rPr>
          <w:rFonts w:ascii="PT Astra Serif" w:hAnsi="PT Astra Serif" w:eastAsia="PT Astra Serif" w:cs="PT Astra Serif" w:eastAsiaTheme="minorHAnsi"/>
          <w:bCs/>
        </w:rPr>
      </w:r>
      <w:r>
        <w:rPr>
          <w:rFonts w:ascii="PT Astra Serif" w:hAnsi="PT Astra Serif" w:cs="PT Astra Serif"/>
          <w:bCs/>
        </w:rPr>
      </w:r>
      <w:r>
        <w:rPr>
          <w:rFonts w:ascii="PT Astra Serif" w:hAnsi="PT Astra Serif" w:cs="PT Astra Serif"/>
          <w:bCs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9" w:name="_Toc128319587"/>
      <w:r>
        <w:rPr>
          <w:rFonts w:ascii="PT Astra Serif" w:hAnsi="PT Astra Serif" w:eastAsia="PT Astra Serif" w:cs="PT Astra Serif" w:eastAsiaTheme="minorHAnsi"/>
        </w:rPr>
        <w:t xml:space="preserve">7. Порядок, даты начала и окончания предоставления участникам аукциона разъяснений положений документации об аукционе</w:t>
      </w:r>
      <w:bookmarkEnd w:id="9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Претендент на участие в аукционе вправе направить организатору аукциона запрос о разъяснении положений документации об аукционе. В течение 2 рабочих дней со дня поступления указанного за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проса организатор аукциона обязан направить в письменной форме разъяснения положений документации об аукционе, если указанный запрос поступил организатору аукциона не позднее чем за 5 рабочих дней до дня окончания срока подачи заявок на участие в аукционе.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о быть размещено управлением на сайте электронной площадки с указанием предмета запроса, но без указания информации о претенденте на участие в аукционе, от которого поступил запрос. Разъяснение положений документации об аукционе не должно изменять ее суть.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Управление по собственной инициативе или в соответствии с запросом заинтересованного лица вправе принять решение о внесении изменений в документацию об а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укционе не позднее чем за 5 рабочих дней до даты окончания подачи заявок на участие в аукционе. Изменение предмета аукциона не допускается. В течение одного рабочего дня с даты принятия указанного решения такие изменения размещаются управлением в порядке, 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установленном для размещения на сайте электронной площадки извещения о проведении аукциона. При этом срок подачи заявок на уча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стие в аукционе должен быть продлен таким образом, чтобы с даты размещения на сайте электронной площадки изменений, внесенных в документацию об аукционе, до даты окончания срока подачи заявок на участие в аукционе он составлял не менее 15 календарных дней.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10" w:name="_Toc128319588"/>
      <w:r>
        <w:rPr>
          <w:rFonts w:ascii="PT Astra Serif" w:hAnsi="PT Astra Serif" w:eastAsia="PT Astra Serif" w:cs="PT Astra Serif" w:eastAsiaTheme="minorHAnsi"/>
        </w:rPr>
        <w:t xml:space="preserve">8. Место, дата и время проведения аукциона</w:t>
      </w:r>
      <w:bookmarkEnd w:id="10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color w:val="ff0000"/>
        </w:rPr>
      </w:pPr>
      <w:r>
        <w:rPr>
          <w:rFonts w:ascii="PT Astra Serif" w:hAnsi="PT Astra Serif" w:eastAsia="PT Astra Serif" w:cs="PT Astra Serif" w:eastAsiaTheme="minorHAnsi"/>
          <w:bCs/>
          <w:color w:val="ff0000"/>
        </w:rPr>
      </w:r>
      <w:r>
        <w:rPr>
          <w:rFonts w:ascii="PT Astra Serif" w:hAnsi="PT Astra Serif" w:cs="PT Astra Serif"/>
          <w:bCs/>
          <w:color w:val="ff0000"/>
        </w:rPr>
      </w:r>
      <w:r>
        <w:rPr>
          <w:rFonts w:ascii="PT Astra Serif" w:hAnsi="PT Astra Serif" w:cs="PT Astra Serif"/>
          <w:bCs/>
          <w:color w:val="ff0000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Аукцион является открытым по составу участников и проводится в форме электронного аукциона.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highlight w:val="none"/>
          <w:u w:val="single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Дата и время проведения аукциона:</w:t>
      </w:r>
      <w:r>
        <w:rPr>
          <w:rFonts w:ascii="PT Astra Serif" w:hAnsi="PT Astra Serif" w:eastAsia="PT Astra Serif" w:cs="PT Astra Serif"/>
          <w:b/>
          <w:bCs/>
          <w:sz w:val="24"/>
          <w:szCs w:val="24"/>
          <w:u w:val="single"/>
        </w:rPr>
        <w:t xml:space="preserve"> 21.10.2024</w:t>
      </w:r>
      <w:r>
        <w:rPr>
          <w:rFonts w:ascii="PT Astra Serif" w:hAnsi="PT Astra Serif" w:eastAsia="PT Astra Serif" w:cs="PT Astra Serif"/>
          <w:b/>
          <w:sz w:val="24"/>
          <w:szCs w:val="24"/>
          <w:u w:val="single"/>
        </w:rPr>
        <w:t xml:space="preserve"> 10</w:t>
      </w:r>
      <w:r>
        <w:rPr>
          <w:rFonts w:ascii="PT Astra Serif" w:hAnsi="PT Astra Serif" w:eastAsia="PT Astra Serif" w:cs="PT Astra Serif"/>
          <w:b/>
          <w:sz w:val="24"/>
          <w:szCs w:val="24"/>
          <w:u w:val="single"/>
        </w:rPr>
        <w:t xml:space="preserve">.00.</w:t>
      </w:r>
      <w:r>
        <w:rPr>
          <w:rFonts w:ascii="PT Astra Serif" w:hAnsi="PT Astra Serif" w:cs="PT Astra Serif"/>
          <w:b/>
          <w:bCs/>
          <w:sz w:val="24"/>
          <w:szCs w:val="24"/>
          <w:highlight w:val="none"/>
          <w:u w:val="single"/>
        </w:rPr>
      </w:r>
      <w:r>
        <w:rPr>
          <w:rFonts w:ascii="PT Astra Serif" w:hAnsi="PT Astra Serif" w:cs="PT Astra Serif"/>
          <w:b/>
          <w:bCs/>
          <w:sz w:val="24"/>
          <w:szCs w:val="24"/>
          <w:highlight w:val="none"/>
          <w:u w:val="singl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b w:val="0"/>
          <w:bCs w:val="0"/>
          <w:sz w:val="24"/>
          <w:szCs w:val="24"/>
          <w:highlight w:val="none"/>
          <w:u w:val="none"/>
        </w:rPr>
        <w:t xml:space="preserve">Место проведения аукциона: </w:t>
      </w:r>
      <w:r>
        <w:rPr>
          <w:rFonts w:ascii="PT Astra Serif" w:hAnsi="PT Astra Serif" w:eastAsia="PT Astra Serif" w:cs="PT Astra Serif"/>
          <w:b/>
          <w:bCs/>
          <w:sz w:val="24"/>
          <w:szCs w:val="24"/>
          <w:u w:val="single"/>
          <w:lang w:val="ru-RU"/>
        </w:rPr>
        <w:t xml:space="preserve">Электронная площадка: </w:t>
      </w:r>
      <w:hyperlink r:id="rId17" w:tooltip="https://www.roseltorg.ru" w:history="1">
        <w:r>
          <w:rPr>
            <w:rFonts w:ascii="PT Astra Serif" w:hAnsi="PT Astra Serif" w:eastAsia="PT Astra Serif" w:cs="PT Astra Serif"/>
            <w:b/>
            <w:bCs/>
            <w:sz w:val="24"/>
            <w:szCs w:val="24"/>
            <w:u w:val="single"/>
            <w:lang w:val="ru-RU"/>
          </w:rPr>
          <w:t xml:space="preserve">https://www.roseltorg.ru</w:t>
        </w:r>
      </w:hyperlink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 w:val="0"/>
          <w:bCs w:val="0"/>
          <w:sz w:val="24"/>
          <w:szCs w:val="24"/>
          <w:u w:val="none"/>
        </w:rPr>
      </w:pPr>
      <w:r>
        <w:rPr>
          <w:rFonts w:ascii="PT Astra Serif" w:hAnsi="PT Astra Serif" w:eastAsia="PT Astra Serif" w:cs="PT Astra Serif"/>
          <w:b w:val="0"/>
          <w:bCs w:val="0"/>
          <w:sz w:val="24"/>
          <w:szCs w:val="24"/>
          <w:highlight w:val="none"/>
          <w:u w:val="none"/>
        </w:rPr>
      </w:r>
      <w:r>
        <w:rPr>
          <w:rFonts w:ascii="PT Astra Serif" w:hAnsi="PT Astra Serif" w:cs="PT Astra Serif"/>
          <w:b w:val="0"/>
          <w:bCs w:val="0"/>
          <w:sz w:val="24"/>
          <w:szCs w:val="24"/>
          <w:u w:val="none"/>
        </w:rPr>
      </w:r>
      <w:r>
        <w:rPr>
          <w:rFonts w:ascii="PT Astra Serif" w:hAnsi="PT Astra Serif" w:cs="PT Astra Serif"/>
          <w:b w:val="0"/>
          <w:bCs w:val="0"/>
          <w:sz w:val="24"/>
          <w:szCs w:val="24"/>
          <w:u w:val="none"/>
        </w:rPr>
      </w:r>
    </w:p>
    <w:p>
      <w:pPr>
        <w:pStyle w:val="860"/>
        <w:ind w:left="708" w:firstLine="708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11" w:name="_Toc128319589"/>
      <w:r>
        <w:rPr>
          <w:rFonts w:ascii="PT Astra Serif" w:hAnsi="PT Astra Serif" w:eastAsia="PT Astra Serif" w:cs="PT Astra Serif" w:eastAsiaTheme="minorHAnsi"/>
        </w:rPr>
        <w:t xml:space="preserve">9. Требования к участникам аукциона, в том числе требование об отсутствии участников в реестре недобросовестных участников </w:t>
      </w:r>
      <w:r>
        <w:rPr>
          <w:rFonts w:ascii="PT Astra Serif" w:hAnsi="PT Astra Serif" w:eastAsia="PT Astra Serif" w:cs="PT Astra Serif" w:eastAsiaTheme="minorHAnsi"/>
        </w:rPr>
        <w:t xml:space="preserve">а</w:t>
      </w:r>
      <w:r>
        <w:rPr>
          <w:rFonts w:ascii="PT Astra Serif" w:hAnsi="PT Astra Serif" w:eastAsia="PT Astra Serif" w:cs="PT Astra Serif" w:eastAsiaTheme="minorHAnsi"/>
        </w:rPr>
        <w:t xml:space="preserve">укциона</w:t>
      </w:r>
      <w:bookmarkEnd w:id="11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аукционе вправе участвовать юридические лица, индивидуальные предпринимате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ли или самозанятые физические лица: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1) экономическая деятельность котор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ых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 не приостановлена в порядке, предусмотренном Кодексом Российской Федерации об административных правонарушениях;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2) не находящ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и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еся в процессе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 ликвидации (в отношении юридических лиц) или в случае отсутствия решения арбитражного суда о признании юридического лица (юридического лица, индивидуального предпринимателя и самозанятого физического лица) банкротом и об открытии конкурсного производства;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3) не имеющ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и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е в течение 12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 месяцев, предшествующих месяцу, в котором размещено извещение о проведении аукциона, нарушений обязательств по заключенным ранее договорам о предоставлении права на размещение НТО на территории муниципального образования город Краснодар, подтвержденных до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кументально (уведомления, акты, решения судов об уклонении от заключения договоров, о неисполнении (ненадлежащем исполнении) обязательств по договорам, постановления о привлечении к административной ответственности при осуществлении торговой деятельности);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4) в установленном порядке вн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ё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сш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и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е обеспечение заявки на участие в аукционе;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5) имеющ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и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е правомочность участника аукциона принимать участие в аукционе и заключать договор.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12" w:name="_Toc128319590"/>
      <w:r>
        <w:rPr>
          <w:rFonts w:ascii="PT Astra Serif" w:hAnsi="PT Astra Serif" w:eastAsia="PT Astra Serif" w:cs="PT Astra Serif" w:eastAsiaTheme="minorHAnsi"/>
        </w:rPr>
        <w:t xml:space="preserve">10. Размер задатка, срок и порядок внесения задатка</w:t>
      </w:r>
      <w:bookmarkEnd w:id="12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10.1 </w:t>
      </w:r>
      <w:r>
        <w:rPr>
          <w:rFonts w:ascii="PT Astra Serif" w:hAnsi="PT Astra Serif" w:eastAsia="PT Astra Serif" w:cs="PT Astra Serif" w:eastAsiaTheme="minorHAnsi"/>
          <w:sz w:val="24"/>
        </w:rPr>
        <w:t xml:space="preserve">Размер задатка в отношении Лота установлен </w:t>
      </w:r>
      <w:r>
        <w:rPr>
          <w:rFonts w:ascii="PT Astra Serif" w:hAnsi="PT Astra Serif" w:eastAsia="PT Astra Serif" w:cs="PT Astra Serif" w:eastAsiaTheme="minorHAnsi"/>
          <w:sz w:val="24"/>
        </w:rPr>
        <w:t xml:space="preserve">в </w:t>
      </w:r>
      <w:r>
        <w:rPr>
          <w:rFonts w:ascii="PT Astra Serif" w:hAnsi="PT Astra Serif" w:eastAsia="PT Astra Serif" w:cs="PT Astra Serif" w:eastAsiaTheme="minorHAnsi"/>
          <w:sz w:val="24"/>
          <w:highlight w:val="none"/>
        </w:rPr>
        <w:t xml:space="preserve">5-ти</w:t>
      </w:r>
      <w:r>
        <w:rPr>
          <w:rFonts w:ascii="PT Astra Serif" w:hAnsi="PT Astra Serif" w:eastAsia="PT Astra Serif" w:cs="PT Astra Serif" w:eastAsiaTheme="minorHAnsi"/>
          <w:sz w:val="24"/>
        </w:rPr>
        <w:t xml:space="preserve"> кратном размере от начальной цены открытого аукциона.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Обеспечение заявок на участие в электронном аукционе представляется в виде задатка.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10.2. Для выполнения условий об аукционе и допуска к участию в аукционе каждый заявитель перечисляет на электронную торговую площадку </w:t>
      </w:r>
      <w:r>
        <w:rPr>
          <w:rFonts w:ascii="PT Astra Serif" w:hAnsi="PT Astra Serif" w:eastAsia="PT Astra Serif" w:cs="PT Astra Serif" w:eastAsiaTheme="minorHAnsi"/>
          <w:sz w:val="24"/>
        </w:rPr>
        <w:t xml:space="preserve">задаток в размере, указанном в аукционной документации, в порядке и в сроки, утвержденные регламентом электронной площадки.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10.3. Задатки возвращаются: 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участникам аукциона, за исключением победителя и участника аукциона, который сделал предпоследнее предложение о цене предмета аукциона, в течение 5 (пяти) рабочих дней со дня опубликования протокола о результатах аукциона;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участнику аукциона, который сделал предпоследнее предложение о цене предмета аукциона в течение 5 (пяти) рабочих дней с момента заключения договора с победителем аукциона;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заявителям, не допущенным к участию в аукционе, в течение 5 (пяти) рабочих дней со дня опубликования протокола о рассмотрении заявок.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в случае принятия организатором аукциона решения об отказе в проведении аукциона, в течение 5 (пяти) рабочих дней с даты размещения извещения об отказе в проведении аукциона.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10.4. Разблокирование денежных средств осуществляется в порядке и сроки, согласно регламенту электронной  площадки.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10.5. Задатки не возвращаются: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единственному заявителю, заявка которого признана комиссией соответствующей аукционной документации, уклонившемуся или отказавшемуся от заключения Договора;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победителю аукциона, заявка которого признана комиссией соответствующей аукционной документации, уклонившемуся или отказавшемуся от заключения Договора по результатам аукциона;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участнику аукциона, который сделал предпоследнее предложение о цене предмета аукциона, уклонившемуся или отказавшемуся от подписания Договора, в случае признания Победителя аукциона уклонившимся от подписания Договора.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10.6. Сумма задатка, внесенного участником, с которым заключен Договор, засчитывается в счет оплаты Договора путем перечисления Оператором электронной площадки на счет, указанный организатором</w:t>
      </w:r>
      <w:r>
        <w:rPr>
          <w:rFonts w:ascii="PT Astra Serif" w:hAnsi="PT Astra Serif" w:eastAsia="PT Astra Serif" w:cs="PT Astra Serif" w:eastAsiaTheme="minorHAnsi"/>
          <w:sz w:val="24"/>
        </w:rPr>
        <w:t xml:space="preserve"> аукциона для оплаты Договора.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13" w:name="_Toc128319591"/>
      <w:r>
        <w:rPr>
          <w:rFonts w:ascii="PT Astra Serif" w:hAnsi="PT Astra Serif" w:eastAsia="PT Astra Serif" w:cs="PT Astra Serif" w:eastAsiaTheme="minorHAnsi"/>
        </w:rPr>
        <w:t xml:space="preserve">11. Проект договора о предоставлении права на размещение НТО</w:t>
      </w:r>
      <w:bookmarkEnd w:id="13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935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34"/>
        <w:gridCol w:w="4822"/>
      </w:tblGrid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ДОГОВОР №  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о пред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оставлении права на размещение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сезонного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нестационарного торгового объекта на территории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муниципального образования город Краснодар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г. Краснодар                                                                                                «____» ___________ 20___ г.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Администрация муниципального образования город Краснодар, именуемая в дальнейшем "Администрация", в лице начальника (первого заместителя начальника) управления торговли и бытового обсл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уживания населения администрации муниципального образования город Краснодар (далее - управление), действующего на основании доверенности № ____ от _________, с одной стороны и _______________________________________________________________________________,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i/>
                <w:sz w:val="18"/>
                <w:szCs w:val="18"/>
              </w:rPr>
              <w:t xml:space="preserve">(наименование организации, Ф.И.О. индивидуального предпринимателя, самозанятого физического лица)</w:t>
            </w:r>
            <w:r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r>
            <w:r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r>
          </w:p>
        </w:tc>
      </w:tr>
      <w:tr>
        <w:tblPrEx/>
        <w:trPr>
          <w:trHeight w:val="273"/>
        </w:trPr>
        <w:tc>
          <w:tcPr>
            <w:gridSpan w:val="2"/>
            <w:tcW w:w="93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в лице _________________________________________________________________________,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i/>
                <w:sz w:val="18"/>
                <w:szCs w:val="18"/>
              </w:rPr>
              <w:t xml:space="preserve">(должность, Ф.И.О.)</w:t>
            </w:r>
            <w:r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r>
            <w:r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действующего на основании _________________________, именуемого в дальнейшем "Правополучатель", с другой стороны, а вместе именуемые "Стороны", заключили настоящий Договор о нижеследующем: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1. Предмет Договора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>
          <w:trHeight w:val="1192"/>
        </w:trPr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/>
              </w:rPr>
            </w:r>
            <w:bookmarkStart w:id="14" w:name="Par16"/>
            <w:r>
              <w:rPr>
                <w:rFonts w:ascii="PT Astra Serif" w:hAnsi="PT Astra Serif" w:eastAsia="PT Astra Serif" w:cs="PT Astra Serif"/>
              </w:rPr>
            </w:r>
            <w:bookmarkEnd w:id="14"/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1.1. На основании протокола аукционной комиссии по предоставлению права н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а размещение нестационарных торговых объектов на территории муниципального образования город Краснодар от _____________ № ______ Администрация предоставляет Правополучателю право на размещение сезонного нестационарного торгового объекта (далее - Объект):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>
          <w:trHeight w:val="23"/>
        </w:trPr>
        <w:tc>
          <w:tcPr>
            <w:gridSpan w:val="2"/>
            <w:tcBorders>
              <w:bottom w:val="single" w:color="auto" w:sz="4" w:space="0"/>
            </w:tcBorders>
            <w:tcW w:w="9356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</w:tcBorders>
            <w:tcW w:w="93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i/>
                <w:sz w:val="18"/>
                <w:szCs w:val="18"/>
              </w:rPr>
              <w:t xml:space="preserve">(тип объекта)</w:t>
            </w:r>
            <w:r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r>
            <w:r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для осуществления торговой деятельности 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9356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4534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  <w:tc>
          <w:tcPr>
            <w:tcBorders>
              <w:top w:val="single" w:color="auto" w:sz="4" w:space="0"/>
            </w:tcBorders>
            <w:tcW w:w="4822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(</w:t>
            </w:r>
            <w:r>
              <w:rPr>
                <w:rFonts w:ascii="PT Astra Serif" w:hAnsi="PT Astra Serif" w:eastAsia="PT Astra Serif" w:cs="PT Astra Serif" w:eastAsiaTheme="minorHAnsi"/>
                <w:bCs/>
                <w:i/>
                <w:sz w:val="18"/>
                <w:szCs w:val="18"/>
              </w:rPr>
              <w:t xml:space="preserve">специализация)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по адресу: 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</w:tcBorders>
            <w:tcW w:w="9356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i/>
                <w:sz w:val="18"/>
                <w:szCs w:val="18"/>
              </w:rPr>
              <w:t xml:space="preserve">(место расположения объекта)</w:t>
            </w:r>
            <w:r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r>
            <w:r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на срок с _________ по _________ с периодом размещения (функционирования) с ____ по ________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(число, месяц)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 Права и обязанности Сторон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2.1. Администрация вправе: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2.1.1. Осуществлять мероприятия по проверке соблюдения Правополучателем условий Договора и требований к размещению и эксплуатации Объекта в соответствии с </w:t>
            </w:r>
            <w:hyperlink r:id="rId18" w:tooltip="consultantplus://offline/ref=1218D3E2E8B0236D4DDC10D3C996584244E9E6E20184CBB970B3D9E57F0E06ACC7DDBE411D63414BF2D58B1A402631B795C51520A28457FDB5E48E55k47FK" w:history="1">
              <w:r>
                <w:rPr>
                  <w:rFonts w:ascii="PT Astra Serif" w:hAnsi="PT Astra Serif" w:eastAsia="PT Astra Serif" w:cs="PT Astra Serif" w:eastAsiaTheme="minorHAnsi"/>
                  <w:bCs/>
                  <w:color w:val="0000ff"/>
                </w:rPr>
                <w:t xml:space="preserve">разделом II</w:t>
              </w:r>
            </w:hyperlink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Положения о размещении нестационарных торговых объектов на территории муниципального образования город Краснодар, утвержденного постановлением администрации муниципального образования город Краснодар от _________ № _____ (далее - Положение).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2.1.2. Демонтировать за счет Правополучателя установленные им конструкции в случае неисполнения Правополучателем обязанности, указанной в </w:t>
            </w:r>
            <w:hyperlink w:tooltip="#Par53" w:anchor="Par53" w:history="1">
              <w:r>
                <w:rPr>
                  <w:rFonts w:ascii="PT Astra Serif" w:hAnsi="PT Astra Serif" w:eastAsia="PT Astra Serif" w:cs="PT Astra Serif" w:eastAsiaTheme="minorHAnsi"/>
                  <w:bCs/>
                  <w:color w:val="0000ff"/>
                </w:rPr>
                <w:t xml:space="preserve">подпункте 2.3.8 пункта 2.3 раздела 2</w:t>
              </w:r>
            </w:hyperlink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настоящего Договора.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2.2. Администрация обязуется обеспечить методическую и консультационную помощь Правополучателю в вопросах организации торговли и предоставления услуг населению.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 Правополучатель обязуется: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/>
              </w:rPr>
            </w:r>
            <w:bookmarkStart w:id="15" w:name="Par34"/>
            <w:r>
              <w:rPr>
                <w:rFonts w:ascii="PT Astra Serif" w:hAnsi="PT Astra Serif" w:eastAsia="PT Astra Serif" w:cs="PT Astra Serif"/>
              </w:rPr>
            </w:r>
            <w:bookmarkEnd w:id="15"/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2.3.1. Использовать Объект в соответствии с назначением, указанным в </w:t>
            </w:r>
            <w:hyperlink w:tooltip="#Par16" w:anchor="Par16" w:history="1">
              <w:r>
                <w:rPr>
                  <w:rFonts w:ascii="PT Astra Serif" w:hAnsi="PT Astra Serif" w:eastAsia="PT Astra Serif" w:cs="PT Astra Serif" w:eastAsiaTheme="minorHAnsi"/>
                  <w:bCs/>
                  <w:color w:val="0000ff"/>
                </w:rPr>
                <w:t xml:space="preserve">пункте 1.1 раздела 1</w:t>
              </w:r>
            </w:hyperlink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настоящего Договора, без передачи права владения и пользования Объектом третьим лицам.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2.3.2. Обеспечить установку Объекта и его готовность к работе в соответствии с требованиями к размещению и эксплуатации нестационарного торгового объекта, предусмотренными разделом </w:t>
            </w:r>
            <w:r>
              <w:rPr>
                <w:rFonts w:ascii="PT Astra Serif" w:hAnsi="PT Astra Serif" w:eastAsia="PT Astra Serif" w:cs="PT Astra Serif" w:eastAsiaTheme="minorHAnsi"/>
                <w:bCs/>
                <w:lang w:val="en-US"/>
              </w:rPr>
              <w:t xml:space="preserve">II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Положения, архитектурным решением и графическим планом размещения Объекта (приложение к настоящему Договору).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/>
              </w:rPr>
            </w:r>
            <w:bookmarkStart w:id="16" w:name="Par35"/>
            <w:r>
              <w:rPr>
                <w:rFonts w:ascii="PT Astra Serif" w:hAnsi="PT Astra Serif" w:eastAsia="PT Astra Serif" w:cs="PT Astra Serif"/>
              </w:rPr>
            </w:r>
            <w:bookmarkEnd w:id="16"/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2.3.3. Приступить к эксплуатации Объекта после заключения договоров на санитарную уборку территории, вывоз твердых коммунальных и жидких отходов, на подключение к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источникам энергообеспечения (последнее - при необходимости) со специализированными организациями, индивидуальными предпринимателями.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 w:eastAsiaTheme="minorHAnsi"/>
                <w:highlight w:val="none"/>
              </w:rPr>
            </w:pPr>
            <w:r>
              <w:rPr>
                <w:rFonts w:ascii="PT Astra Serif" w:hAnsi="PT Astra Serif" w:eastAsia="PT Astra Serif" w:cs="PT Astra Serif"/>
              </w:rPr>
            </w:r>
            <w:bookmarkStart w:id="17" w:name="Par36"/>
            <w:r>
              <w:rPr>
                <w:rFonts w:ascii="PT Astra Serif" w:hAnsi="PT Astra Serif" w:eastAsia="PT Astra Serif" w:cs="PT Astra Serif"/>
              </w:rPr>
            </w:r>
            <w:bookmarkEnd w:id="17"/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2.3.4. Обеспечить выполнение установленных законодательством Российской Федерации торг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овых, санитарных и противопожарных норм и правил организации работы для данного Объекта, соблюдение чистоты и порядка на прилегающей территории в соответствии с установленными Правилами благоустройства территории муниципального образования город Краснодар.</w:t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 w:eastAsiaTheme="minorHAnsi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Контроль за соблюдением требовани</w:t>
            </w: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й, установленных абзацем первым настоящего пункта,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 уполномоченными на его проведение органами.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Мероприятия по проверке соблюдения Правополучателем условий настоящего Договора, не предусмотренных абзацем первым настоящего пункта, осуществляется работниками управления в рамках гражданско-правовых отношений. </w:t>
            </w: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 w:eastAsiaTheme="minorHAnsi"/>
              </w:rPr>
            </w:pPr>
            <w:r>
              <w:rPr>
                <w:rFonts w:ascii="PT Astra Serif" w:hAnsi="PT Astra Serif" w:eastAsia="PT Astra Serif" w:cs="PT Astra Serif"/>
              </w:rPr>
            </w:r>
            <w:bookmarkStart w:id="18" w:name="Par37"/>
            <w:r>
              <w:rPr>
                <w:rFonts w:ascii="PT Astra Serif" w:hAnsi="PT Astra Serif" w:eastAsia="PT Astra Serif" w:cs="PT Astra Serif"/>
              </w:rPr>
            </w:r>
            <w:bookmarkEnd w:id="18"/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2.3.5. Обеспечить выполнение установленных требований к организации и осуществлению торговой деятельности.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 w:eastAsiaTheme="minorHAnsi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2.3.6. Обеспечить постоянное наличие на Объекте и предъявление по требованию работников управления следующих документов: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настоящего Договора и графического </w:t>
            </w:r>
            <w:hyperlink r:id="rId19" w:tooltip="consultantplus://offline/ref=1218D3E2E8B0236D4DDC10D3C996584244E9E6E20184CBB970B3D9E57F0E06ACC7DDBE411D63414BF2D48A1B492631B795C51520A28457FDB5E48E55k47FK" w:history="1">
              <w:r>
                <w:rPr>
                  <w:rFonts w:ascii="PT Astra Serif" w:hAnsi="PT Astra Serif" w:eastAsia="PT Astra Serif" w:cs="PT Astra Serif" w:eastAsiaTheme="minorHAnsi"/>
                  <w:bCs/>
                  <w:color w:val="0000ff"/>
                </w:rPr>
                <w:t xml:space="preserve">плана</w:t>
              </w:r>
            </w:hyperlink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размещения Объекта (приложение к настоящему Договору);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вывески Объекта с указанием наименования организации, места ее нахождения (адреса) и режима ее работы;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информации о государственной регистрации в качестве юридического лица, индивидуального предпринимателя или самозанятого физического лица и наименовании зарегистрировавшего его органа;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трудовых договоров лиц, работающих на Объекте, за исключением индивидуальных предпринимателей, осуществляющих торговую деятельность самостоятельно и самозанятых физических лиц.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/>
              </w:rPr>
            </w:r>
            <w:bookmarkStart w:id="19" w:name="Par45"/>
            <w:r>
              <w:rPr>
                <w:rFonts w:ascii="PT Astra Serif" w:hAnsi="PT Astra Serif" w:eastAsia="PT Astra Serif" w:cs="PT Astra Serif"/>
              </w:rPr>
            </w:r>
            <w:bookmarkEnd w:id="19"/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2.3.7.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Ежемесячно перечислять в местный бюджет (бюджет муниципального образования город Краснодар) предложенную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им сумму за право на размещение сезонного нестационарного торгового объекта на территории муниципального образования город Краснодар в размере ________ руб. (_________ рублей) в срок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не позднее 25-го числа месяца, предшествующего оплачиваемому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месяцу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,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и перечисляемой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в местный бюджет (бюджет муниципального образования город Краснодар) по следующим реквизитам: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Получатель: Администрация муниципального образования город Краснодар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Назначение платежа: «Плата за право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на размещение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сезонного НТО по Договору № ____».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Сумма оплаты за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первый месяц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срока действия настоящего Договора подлежит перечислению в местный бюджет (бюджет муниципального образования город Краснодар) в течение 3 (трех) банковских дней с момента его подписания.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Сумма платежа за право на размещение Объекта на территории муниципального образования город Краснодар за последний неполный месяц определяется пропорционально времени размещения Объекта в течение данного месяца.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В случае невнесения платы в установленный Договором срок Правополучатель оплачивает пеню за каждый день просрочки в размере 0,2% от размера оплаты по До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говору.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/>
              </w:rPr>
            </w:r>
            <w:bookmarkStart w:id="20" w:name="Par53"/>
            <w:r>
              <w:rPr>
                <w:rFonts w:ascii="PT Astra Serif" w:hAnsi="PT Astra Serif" w:eastAsia="PT Astra Serif" w:cs="PT Astra Serif"/>
              </w:rPr>
            </w:r>
            <w:bookmarkEnd w:id="20"/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2.3.8. Освободить занимаемую территорию от Объекта (его конструкций) и привести ее в первоначальное состояние в течение 7 (семи) календарных дней: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по истечении периода функционирования Объекта, предусмотренного настоящим Договором;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при досрочном расторжении (отказе Администрации от) настоящего Договора в случаях, предусмотренных разделом 3 настоящего Договора.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3. Прекращение действия Договора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3.1. Действие настоящего Договора прекращается по истечении срока, указанного в </w:t>
            </w:r>
            <w:hyperlink w:tooltip="#Par16" w:anchor="Par16" w:history="1">
              <w:r>
                <w:rPr>
                  <w:rFonts w:ascii="PT Astra Serif" w:hAnsi="PT Astra Serif" w:eastAsia="PT Astra Serif" w:cs="PT Astra Serif" w:eastAsiaTheme="minorHAnsi"/>
                  <w:bCs/>
                  <w:color w:val="0000ff"/>
                </w:rPr>
                <w:t xml:space="preserve">пункте 1.1 раздела 1</w:t>
              </w:r>
            </w:hyperlink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настоящего Договора, а также в случаях и в порядке, установленных законодательством Российской Федерации.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3.2. Настоящий Договор может быть расторгнут досрочно по соглашению Сторон.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Расторжение настоящего Договора по соглашению Сторон возможно только при отсутствии у Правополучателя задолженности по оплате за Объект.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3.3. По требованию одной из Сторон настоящий Договор может быть расторгнут досрочно в судебном порядке по основаниям, предусмотренным действующим законодательством Российской Федерации и настоящим Договором.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3.4. Администрация вправе в одностороннем порядке отказаться от настоящего Договора, письменно уведомив об этом Правополучателя или его представителя, в случаях: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 w:eastAsiaTheme="minorHAnsi"/>
                <w14:ligatures w14:val="none"/>
              </w:rPr>
            </w:pPr>
            <w:r>
              <w:rPr>
                <w:rFonts w:ascii="PT Astra Serif" w:hAnsi="PT Astra Serif" w:cs="PT Astra Serif" w:eastAsiaTheme="minorHAnsi"/>
              </w:rPr>
              <w:t xml:space="preserve">неустранения Правополучател</w:t>
            </w:r>
            <w:r>
              <w:rPr>
                <w:rFonts w:ascii="PT Astra Serif" w:hAnsi="PT Astra Serif" w:cs="PT Astra Serif" w:eastAsiaTheme="minorHAnsi"/>
              </w:rPr>
              <w:t xml:space="preserve">ем в пятидневный срок (при необходимости проведения работ по реконструкции объекта - тридцатидневный срок) нарушений, выявленных при обследовании Объекта и отраженных в акте нарушений подпунктов 2.3.1, 2.3.2, 2.3.5 пункта 2.3 раздела 2 настоящего Договора;</w:t>
            </w:r>
            <w:r>
              <w:rPr>
                <w:rFonts w:ascii="PT Astra Serif" w:hAnsi="PT Astra Serif" w:cs="PT Astra Serif" w:eastAsiaTheme="minorHAnsi"/>
                <w14:ligatures w14:val="none"/>
              </w:rPr>
            </w:r>
            <w:r>
              <w:rPr>
                <w:rFonts w:ascii="PT Astra Serif" w:hAnsi="PT Astra Serif" w:cs="PT Astra Serif" w:eastAsiaTheme="minorHAnsi"/>
                <w14:ligatures w14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 w:eastAsiaTheme="minorHAnsi"/>
                <w14:ligatures w14:val="none"/>
              </w:rPr>
            </w:pPr>
            <w:r>
              <w:rPr>
                <w:rFonts w:ascii="PT Astra Serif" w:hAnsi="PT Astra Serif" w:cs="PT Astra Serif" w:eastAsiaTheme="minorHAnsi"/>
              </w:rPr>
              <w:t xml:space="preserve">нарушения Правополучателем </w:t>
            </w:r>
            <w:r>
              <w:rPr>
                <w:rFonts w:ascii="PT Astra Serif" w:hAnsi="PT Astra Serif" w:cs="PT Astra Serif" w:eastAsiaTheme="minorHAnsi"/>
              </w:rPr>
              <w:t xml:space="preserve">подпунктов </w:t>
            </w:r>
            <w:hyperlink w:tooltip="#Par35" w:anchor="Par35" w:history="1">
              <w:r>
                <w:rPr>
                  <w:rFonts w:ascii="PT Astra Serif" w:hAnsi="PT Astra Serif" w:cs="PT Astra Serif" w:eastAsiaTheme="minorHAnsi"/>
                </w:rPr>
                <w:t xml:space="preserve">2.3.3</w:t>
              </w:r>
            </w:hyperlink>
            <w:r>
              <w:rPr>
                <w:rFonts w:ascii="PT Astra Serif" w:hAnsi="PT Astra Serif" w:cs="PT Astra Serif" w:eastAsiaTheme="minorHAnsi"/>
              </w:rPr>
              <w:t xml:space="preserve">, </w:t>
            </w:r>
            <w:hyperlink w:tooltip="#Par45" w:anchor="Par45" w:history="1">
              <w:r>
                <w:rPr>
                  <w:rFonts w:ascii="PT Astra Serif" w:hAnsi="PT Astra Serif" w:cs="PT Astra Serif" w:eastAsiaTheme="minorHAnsi"/>
                </w:rPr>
                <w:t xml:space="preserve">2.3.7 пункта 2.3 раздела 2</w:t>
              </w:r>
            </w:hyperlink>
            <w:r>
              <w:rPr>
                <w:rFonts w:ascii="PT Astra Serif" w:hAnsi="PT Astra Serif" w:cs="PT Astra Serif" w:eastAsiaTheme="minorHAnsi"/>
              </w:rPr>
              <w:t xml:space="preserve"> настоящего Договора;</w:t>
            </w:r>
            <w:r>
              <w:rPr>
                <w:rFonts w:ascii="PT Astra Serif" w:hAnsi="PT Astra Serif" w:cs="PT Astra Serif" w:eastAsiaTheme="minorHAnsi"/>
                <w14:ligatures w14:val="none"/>
              </w:rPr>
            </w:r>
            <w:r>
              <w:rPr>
                <w:rFonts w:ascii="PT Astra Serif" w:hAnsi="PT Astra Serif" w:cs="PT Astra Serif" w:eastAsiaTheme="minorHAnsi"/>
                <w14:ligatures w14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 w:eastAsiaTheme="minorHAnsi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повторного нарушения Правополучателем </w:t>
            </w:r>
            <w:hyperlink w:tooltip="#Par37" w:anchor="Par37" w:history="1">
              <w:r>
                <w:rPr>
                  <w:rFonts w:ascii="PT Astra Serif" w:hAnsi="PT Astra Serif" w:eastAsia="PT Astra Serif" w:cs="PT Astra Serif" w:eastAsiaTheme="minorHAnsi"/>
                  <w:bCs/>
                  <w:color w:val="0000ff"/>
                </w:rPr>
                <w:t xml:space="preserve">2.3.6 пункта 2.3 раздела 2</w:t>
              </w:r>
            </w:hyperlink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настоящего Договора, выявленного при обследовании Объекта и отражённого в акте, а также подпункта 2.3.4 пункта 2.3 раздела 2 настоящего Договора, выявленного уполномоченными органами, ос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уществляющими проведение контрольных (надзорных) мероприятий в рамках Федерального закона от 31.07.2020 № 248-ФЗ «О государственном контроле (надзоре) и муниципальном контроле в Российской Федерации (в случае поступления указанной информации в управление);</w:t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строительства или реконструкции объекта федерального, регионального значения на территории земельного участка, на котором расположен Объект, при отсутствии возможности дальнейшей эксплуатации Объекта по месту его расположения;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 w:eastAsiaTheme="minorHAnsi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использование земельного участка для решения вопросов местного значения, предусмотренных Федеральным законом от 06.10.2003 № 131-ФЗ «Об общих принципах местного самоуправления в Российской Федерации»;</w:t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установления управлением факта прекращения деятельности в качестве юридического лица, индивидуального предпринимателя, самозанятого физического лица.</w:t>
            </w: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Настоящий Договор считается прекращенным по истечении 5 (пяти) календарных дней с момента получения Правополучателем уведомления об отказе от настоящего Договора.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4. Прочие условия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4.1. Изменения и дополнения к настоящему Договору действительны, если они оформлены письменно в форме дополнительных соглашений и подписаны уполномоченными представителями Сторон.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4.2. Сторона в случае изменения адреса или иных реквизитов, указанных в настоящем Договоре, направляет в десятидневный срок другой Стороне письменное уведомление об изменении адреса или иных реквизитов, указанных в Договоре.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В случае если одна из Сторон письменно не уведомила другую Сторону об изменении адреса, указанного в настоящем Договоре, все извещения и другие документы, отправленные по адресу, ранее указанному в настоящем Договоре, считаются врученными.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4.3. Взаимоотношения Сторон, не урегулированные настоящим Договором, регламентируются действующим законодательством Российской Федерации.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 w:eastAsiaTheme="minorHAnsi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4.4. Настоящий Договор составлен в 2 (двух) экземплярах: для каждой Стороны по одному экземпляру.</w:t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4.5. Стороны освобож</w:t>
            </w: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даются от ответственности за неисполнение за неисполнение обязательств по настоящему Договору, если такое неисполнение явилось следствием действия непреодолимой силы: наводнения, землетрясения, оползня и других стихийных бедствий, а также войн. В случае де</w:t>
            </w: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йствия вышеуказанных обстоятельств свыше 2 (двух) месяцев Стороны вправе расторгнуть настоящий Договор. Бремя доказывания наступления действий непреодолимой силы ложится на Сторону, которая требует освобождения от ответственности вследствие её наступления.</w:t>
            </w: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Приложение: графический </w:t>
            </w:r>
            <w:hyperlink r:id="rId20" w:tooltip="consultantplus://offline/ref=1218D3E2E8B0236D4DDC10D3C996584244E9E6E20184CBB970B3D9E57F0E06ACC7DDBE411D63414BF2D48A1B492631B795C51520A28457FDB5E48E55k47FK" w:history="1">
              <w:r>
                <w:rPr>
                  <w:rFonts w:ascii="PT Astra Serif" w:hAnsi="PT Astra Serif" w:eastAsia="PT Astra Serif" w:cs="PT Astra Serif" w:eastAsiaTheme="minorHAnsi"/>
                  <w:bCs/>
                  <w:color w:val="0000ff"/>
                </w:rPr>
                <w:t xml:space="preserve">план</w:t>
              </w:r>
            </w:hyperlink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размещения Объекта.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5. Реквизиты, адреса и подписи Сторон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tcW w:w="4534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Администрация муниципального образования город Краснодар, ул. Красная, 122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  <w:tc>
          <w:tcPr>
            <w:tcW w:w="4822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Правополучатель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tcW w:w="4534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ИНН/КПП 2310032246/231001001,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к/с 40102810945370000010,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р/с 03100643000000011800,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hyperlink r:id="rId21" w:tooltip="consultantplus://offline/ref=09326C82622E71E7A8ECA149509DFF304A7B360D16A24D375EADEA8A1014FCFAD56AE55061B32E32B0DBB01440U3IFJ" w:history="1">
              <w:r>
                <w:rPr>
                  <w:rFonts w:ascii="PT Astra Serif" w:hAnsi="PT Astra Serif" w:eastAsia="PT Astra Serif" w:cs="PT Astra Serif"/>
                  <w:color w:val="0000ff"/>
                </w:rPr>
                <w:t xml:space="preserve">ОКТМО</w:t>
              </w:r>
            </w:hyperlink>
            <w:r>
              <w:rPr>
                <w:rFonts w:ascii="PT Astra Serif" w:hAnsi="PT Astra Serif" w:eastAsia="PT Astra Serif" w:cs="PT Astra Serif"/>
              </w:rPr>
              <w:t xml:space="preserve"> 03701000, БИК 010349101;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КБК 90211109080040000120,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Южное ГУ Банка России//УФК по Краснодарскому краю, г. Краснодар.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Назначение платежа: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Плата за право размещения </w:t>
            </w:r>
            <w:r>
              <w:rPr>
                <w:rFonts w:ascii="PT Astra Serif" w:hAnsi="PT Astra Serif" w:eastAsia="PT Astra Serif" w:cs="PT Astra Serif"/>
              </w:rPr>
              <w:t xml:space="preserve">сезонного нестационарного торгового объекта по Договору №____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22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tcW w:w="4534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Начальник (заместитель начальника)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управления торговли и бытового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обслуживания населения администрации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муниципального образования город Краснодар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  <w:tc>
          <w:tcPr>
            <w:tcW w:w="4822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tcW w:w="4534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М.П.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Ф.И.О.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  <w:tc>
          <w:tcPr>
            <w:tcW w:w="4822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М.П.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Ф.И.О.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</w:tbl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ПРИЛОЖЕНИЕ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к договору о предоставлении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права </w:t>
      </w:r>
      <w:r>
        <w:rPr>
          <w:rFonts w:ascii="PT Astra Serif" w:hAnsi="PT Astra Serif" w:eastAsia="PT Astra Serif" w:cs="PT Astra Serif" w:eastAsiaTheme="minorHAnsi"/>
        </w:rPr>
        <w:t xml:space="preserve">на размещение сезонного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нестационарного </w:t>
      </w:r>
      <w:r>
        <w:rPr>
          <w:rFonts w:ascii="PT Astra Serif" w:hAnsi="PT Astra Serif" w:eastAsia="PT Astra Serif" w:cs="PT Astra Serif" w:eastAsiaTheme="minorHAnsi"/>
        </w:rPr>
        <w:t xml:space="preserve">торгового объекта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на территории </w:t>
      </w:r>
      <w:r>
        <w:rPr>
          <w:rFonts w:ascii="PT Astra Serif" w:hAnsi="PT Astra Serif" w:eastAsia="PT Astra Serif" w:cs="PT Astra Serif" w:eastAsiaTheme="minorHAnsi"/>
        </w:rPr>
        <w:t xml:space="preserve">муниципального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образования город Краснодар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Утверждаю: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Начальник (первый заместитель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начальника) </w:t>
      </w:r>
      <w:r>
        <w:rPr>
          <w:rFonts w:ascii="PT Astra Serif" w:hAnsi="PT Astra Serif" w:eastAsia="PT Astra Serif" w:cs="PT Astra Serif" w:eastAsiaTheme="minorHAnsi"/>
        </w:rPr>
        <w:t xml:space="preserve">управления торговли и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бытового обслуживания населения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администрации муниципального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образования город Краснодар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"___" __________ 20___ г.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 w:eastAsiaTheme="minorHAnsi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  <w:b/>
          <w:bCs/>
        </w:rPr>
        <w:t xml:space="preserve">Графический план </w:t>
      </w:r>
      <w:r>
        <w:rPr>
          <w:rFonts w:ascii="PT Astra Serif" w:hAnsi="PT Astra Serif" w:eastAsia="PT Astra Serif" w:cs="PT Astra Serif" w:eastAsiaTheme="minorHAnsi"/>
          <w:b/>
          <w:bCs/>
        </w:rPr>
        <w:t xml:space="preserve">размещения Объекта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center"/>
        <w:spacing w:after="0" w:line="240" w:lineRule="auto"/>
        <w:rPr>
          <w:rFonts w:ascii="PT Astra Serif" w:hAnsi="PT Astra Serif" w:cs="PT Astra Serif" w:eastAsiaTheme="minorHAnsi"/>
          <w:highlight w:val="none"/>
        </w:rPr>
      </w:pPr>
      <w:r>
        <w:rPr>
          <w:rFonts w:ascii="PT Astra Serif" w:hAnsi="PT Astra Serif" w:eastAsia="PT Astra Serif" w:cs="PT Astra Serif" w:eastAsiaTheme="minorHAnsi"/>
        </w:rPr>
        <w:t xml:space="preserve">______________________________________________________</w:t>
      </w:r>
      <w:r>
        <w:rPr>
          <w:rFonts w:ascii="PT Astra Serif" w:hAnsi="PT Astra Serif" w:cs="PT Astra Serif" w:eastAsiaTheme="minorHAnsi"/>
          <w:highlight w:val="none"/>
        </w:rPr>
      </w:r>
      <w:r>
        <w:rPr>
          <w:rFonts w:ascii="PT Astra Serif" w:hAnsi="PT Astra Serif" w:cs="PT Astra Serif" w:eastAsiaTheme="minorHAnsi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 w:eastAsiaTheme="minorHAnsi"/>
          <w:highlight w:val="none"/>
        </w:rPr>
      </w:pPr>
      <w:r>
        <w:rPr>
          <w:rFonts w:ascii="PT Astra Serif" w:hAnsi="PT Astra Serif" w:eastAsia="PT Astra Serif" w:cs="PT Astra Serif" w:eastAsiaTheme="minorHAnsi"/>
          <w:highlight w:val="none"/>
        </w:rPr>
        <w:t xml:space="preserve">(тип сезонного НТО, наименование, ФИО Праврполучателя)</w:t>
      </w:r>
      <w:r>
        <w:rPr>
          <w:rFonts w:ascii="PT Astra Serif" w:hAnsi="PT Astra Serif" w:eastAsia="PT Astra Serif" w:cs="PT Astra Serif" w:eastAsiaTheme="minorHAnsi"/>
          <w:highlight w:val="none"/>
        </w:rPr>
      </w:r>
      <w:r>
        <w:rPr>
          <w:rFonts w:ascii="PT Astra Serif" w:hAnsi="PT Astra Serif" w:cs="PT Astra Serif" w:eastAsiaTheme="minorHAnsi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 w:eastAsiaTheme="minorHAnsi"/>
          <w:highlight w:val="none"/>
        </w:rPr>
      </w:pPr>
      <w:r>
        <w:rPr>
          <w:rFonts w:ascii="PT Astra Serif" w:hAnsi="PT Astra Serif" w:eastAsia="PT Astra Serif" w:cs="PT Astra Serif" w:eastAsiaTheme="minorHAnsi"/>
          <w:highlight w:val="none"/>
        </w:rPr>
        <w:t xml:space="preserve">для реализации___________________________________________</w:t>
      </w:r>
      <w:r>
        <w:rPr>
          <w:rFonts w:ascii="PT Astra Serif" w:hAnsi="PT Astra Serif" w:eastAsia="PT Astra Serif" w:cs="PT Astra Serif" w:eastAsiaTheme="minorHAnsi"/>
          <w:highlight w:val="none"/>
        </w:rPr>
      </w:r>
      <w:r>
        <w:rPr>
          <w:rFonts w:ascii="PT Astra Serif" w:hAnsi="PT Astra Serif" w:cs="PT Astra Serif" w:eastAsiaTheme="minorHAnsi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 w:eastAsiaTheme="minorHAnsi"/>
          <w:highlight w:val="none"/>
        </w:rPr>
      </w:pPr>
      <w:r>
        <w:rPr>
          <w:rFonts w:ascii="PT Astra Serif" w:hAnsi="PT Astra Serif" w:eastAsia="PT Astra Serif" w:cs="PT Astra Serif" w:eastAsiaTheme="minorHAnsi"/>
          <w:highlight w:val="none"/>
        </w:rPr>
        <w:t xml:space="preserve">(специализация сезонного НТО)</w:t>
      </w:r>
      <w:r>
        <w:rPr>
          <w:rFonts w:ascii="PT Astra Serif" w:hAnsi="PT Astra Serif" w:eastAsia="PT Astra Serif" w:cs="PT Astra Serif" w:eastAsiaTheme="minorHAnsi"/>
          <w:highlight w:val="none"/>
        </w:rPr>
      </w:r>
      <w:r>
        <w:rPr>
          <w:rFonts w:ascii="PT Astra Serif" w:hAnsi="PT Astra Serif" w:cs="PT Astra Serif" w:eastAsiaTheme="minorHAnsi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  <w:highlight w:val="none"/>
        </w:rPr>
        <w:t xml:space="preserve">по адресу________________________________________________</w:t>
      </w:r>
      <w:r>
        <w:rPr>
          <w:rFonts w:ascii="PT Astra Serif" w:hAnsi="PT Astra Serif" w:eastAsia="PT Astra Serif" w:cs="PT Astra Serif" w:eastAsiaTheme="minorHAnsi"/>
          <w:highlight w:val="none"/>
        </w:rPr>
      </w:r>
      <w:r>
        <w:rPr>
          <w:rFonts w:ascii="PT Astra Serif" w:hAnsi="PT Astra Serif" w:cs="PT Astra Serif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  <w:position w:val="-159"/>
          <w:lang w:eastAsia="ru-RU"/>
        </w:rPr>
      </w:r>
      <w:r>
        <w:rPr>
          <w:rFonts w:ascii="PT Astra Serif" w:hAnsi="PT Astra Serif" w:eastAsia="PT Astra Serif" w:cs="PT Astra Serif" w:eastAsiaTheme="minorHAnsi"/>
          <w:position w:val="-159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915115" cy="2162175"/>
                <wp:effectExtent l="6350" t="6350" r="6350" b="6350"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55478809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2"/>
                        <a:srcRect l="0" t="0" r="23599" b="0"/>
                        <a:stretch/>
                      </pic:blipFill>
                      <pic:spPr bwMode="auto">
                        <a:xfrm flipH="0" flipV="0">
                          <a:off x="0" y="0"/>
                          <a:ext cx="3915114" cy="21621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08.28pt;height:170.25pt;mso-wrap-distance-left:0.00pt;mso-wrap-distance-top:0.00pt;mso-wrap-distance-right:0.00pt;mso-wrap-distance-bottom:0.00pt;" stroked="f">
                <v:path textboxrect="0,0,0,0"/>
                <v:imagedata r:id="rId22" o:title=""/>
              </v:shape>
            </w:pict>
          </mc:Fallback>
        </mc:AlternateConten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</w:rPr>
      </w:pPr>
      <w:r>
        <w:rPr>
          <w:rFonts w:ascii="PT Astra Serif" w:hAnsi="PT Astra Serif" w:eastAsia="PT Astra Serif" w:cs="PT Astra Serif" w:eastAsiaTheme="minorHAnsi"/>
          <w:bCs/>
        </w:rPr>
      </w:r>
      <w:r>
        <w:rPr>
          <w:rFonts w:ascii="PT Astra Serif" w:hAnsi="PT Astra Serif" w:cs="PT Astra Serif"/>
          <w:bCs/>
        </w:rPr>
      </w:r>
      <w:r>
        <w:rPr>
          <w:rFonts w:ascii="PT Astra Serif" w:hAnsi="PT Astra Serif" w:cs="PT Astra Serif"/>
          <w:bCs/>
        </w:rPr>
      </w:r>
    </w:p>
    <w:p>
      <w:pPr>
        <w:pStyle w:val="860"/>
        <w:rPr>
          <w:rFonts w:ascii="PT Astra Serif" w:hAnsi="PT Astra Serif" w:cs="PT Astra Serif"/>
          <w:highlight w:val="none"/>
        </w:rPr>
        <w:outlineLvl w:val="0"/>
      </w:pPr>
      <w:r>
        <w:rPr>
          <w:rFonts w:ascii="PT Astra Serif" w:hAnsi="PT Astra Serif" w:eastAsia="PT Astra Serif" w:cs="PT Astra Serif"/>
        </w:rPr>
      </w:r>
      <w:bookmarkStart w:id="21" w:name="_Toc128319592"/>
      <w:r>
        <w:rPr>
          <w:rFonts w:ascii="PT Astra Serif" w:hAnsi="PT Astra Serif" w:eastAsia="PT Astra Serif" w:cs="PT Astra Serif" w:eastAsiaTheme="minorHAnsi"/>
        </w:rPr>
        <w:t xml:space="preserve">12. Сведения о порядке определения победителя</w:t>
      </w:r>
      <w:bookmarkEnd w:id="21"/>
      <w:r>
        <w:rPr>
          <w:rFonts w:ascii="PT Astra Serif" w:hAnsi="PT Astra Serif" w:cs="PT Astra Serif"/>
          <w:highlight w:val="none"/>
        </w:rPr>
      </w:r>
      <w:r>
        <w:rPr>
          <w:rFonts w:ascii="PT Astra Serif" w:hAnsi="PT Astra Serif" w:cs="PT Astra Serif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Аукцион проводится в установленные в извещении о проведении аукциона время и дату</w:t>
      </w:r>
      <w:r>
        <w:rPr>
          <w:rFonts w:ascii="PT Astra Serif" w:hAnsi="PT Astra Serif" w:eastAsia="PT Astra Serif" w:cs="PT Astra Serif" w:eastAsiaTheme="minorHAnsi"/>
          <w:bCs/>
          <w:sz w:val="24"/>
          <w:highlight w:val="none"/>
        </w:rPr>
        <w:t xml:space="preserve"> </w:t>
      </w:r>
      <w:r>
        <w:rPr>
          <w:rFonts w:ascii="PT Astra Serif" w:hAnsi="PT Astra Serif" w:eastAsia="PT Astra Serif" w:cs="PT Astra Serif" w:eastAsiaTheme="minorHAnsi"/>
          <w:b/>
          <w:bCs/>
          <w:sz w:val="24"/>
          <w:highlight w:val="none"/>
        </w:rPr>
        <w:t xml:space="preserve">(</w:t>
      </w:r>
      <w:r>
        <w:rPr>
          <w:rFonts w:ascii="PT Astra Serif" w:hAnsi="PT Astra Serif" w:eastAsia="PT Astra Serif" w:cs="PT Astra Serif" w:eastAsiaTheme="minorHAnsi"/>
          <w:b/>
          <w:bCs/>
          <w:sz w:val="24"/>
          <w:highlight w:val="none"/>
        </w:rPr>
        <w:t xml:space="preserve">21.10.2024 в 10:00</w:t>
      </w:r>
      <w:r>
        <w:rPr>
          <w:rFonts w:ascii="PT Astra Serif" w:hAnsi="PT Astra Serif" w:eastAsia="PT Astra Serif" w:cs="PT Astra Serif" w:eastAsiaTheme="minorHAnsi"/>
          <w:b/>
          <w:bCs/>
          <w:sz w:val="24"/>
          <w:highlight w:val="none"/>
        </w:rPr>
        <w:t xml:space="preserve">)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/>
        </w:rPr>
      </w:r>
      <w:bookmarkStart w:id="22" w:name="Par1"/>
      <w:r>
        <w:rPr>
          <w:rFonts w:ascii="PT Astra Serif" w:hAnsi="PT Astra Serif" w:eastAsia="PT Astra Serif" w:cs="PT Astra Serif"/>
        </w:rPr>
      </w:r>
      <w:bookmarkEnd w:id="22"/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При проведении аукциона устанавливается время приёма предложений, составляющ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ее 10 минут от начала подачи предложения о стоимости права на заключение договора о предоставлении права на размещение НТО до истечения срока подачи предложений о стоимости права на заключение договора о предоставлении права на размещение НТО, а также 10 м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инут после поступления последнего предложения о стоимости права на заключение договора о предоставлении права на размещение НТО. Время приёма предложений обновляется автоматически при помощи программных и технических средств оператора электронной площадки.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Если в течение указанного срока ни одного предложения не поступило, аукцион автоматически завершается при помощи технических средств оператора электронной площадки.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случае если ни один из участников аукциона не сделал «шаг аукциона», аукцион считается несостоявшимся. Договор о предоставлении права на размещение НТО заключается с участником аукциона, подавшим заявку первым.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Аукцион проводится путём повышения начальной цены предмета аукциона, указанной в извещении о проведении аукциона.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Величина повышения начальной цены предмета аукциона «шаг аукциона» составляет пять процентов от начальной цены лота.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Оператор электронной площадки фиксирует предложения участников аукциона, с указанием времени поступления указанных предложений.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После поступления последнего предложения аукцион автоматически завершается при помощи технических средств оператора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 электронной площадки.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По результатам проведения аукциона оператором электронной площадки оформляется протокол проведения аукциона.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Протокол проведения аукциона размещается оператором элек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тронной площадки на электронной площадке после окончания аукциона в день его проведения. В протоколе проведения аукциона указываются адрес электронной площадки, дата, время начала и окончания аукциона, начальная (минимальная) стоимость права на заключение 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договора о предоставлении права на размещение НТО, сведения об участниках аукциона, все максимальные предложения о стоимости права заключения договора о предоставлении права на размещение НТО, сделанные участниками аукциона и ранжированные по мере возраста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ния, с указанием порядковых номеров, присвоенных заявкам на участие в аукционе, которые поданы участниками аукциона, сделавшими соответствующие предложения о цене аукциона, и с указанием времени поступления данных предложений по местному времени участника.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Участник аукциона после размещения на электронной площадке протокола проведения аукциона имеет право направи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ть оператору электронной площадки запрос о разъяснении содержания протокола проведения аукциона. Оператор электронной площадки в установленные регламентом электронной площадки сроки обязан предоставить такому участнику аукциона соответствующие разъяснения.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Оператор электронной площадки обязан обеспечить непрерывность проведения аукциона, на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дежность функционирования программных и технических средств, используемых для проведения аукциона, равный доступ участников аукциона к участию в нем, а также выполнение действий, предусмотренных настоящим разделом, независимо от времени окончания аукциона.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срок не позднее трёх рабочих дней после размещения протокола проведения аукциона на сайте электронной площадки управление направляет протокол проведения аукциона аукционной комиссии.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Аукционная комиссия определяет победителя аукциона, заявившего максимальное предложение стоимости права на заключение договора о предоставлении права на размещение НТО, и ранжирует заявки других участников аукциона по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 мере убывания стоимости права на заключение договора о предоставлении права на размещение НТО с указанием порядковых номеров, присвоенных заявкам на участие в аукционе, поданным участниками аукциона, сделавшими соответствующие предложения о цене аукциона.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По результатам определения победителя аукциона и ранжирования заявок других участников аукциона аукционной комиссией в течение трёх рабочих дней оформляется протокол о результатах аукциона.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Протокол о результатах аукциона в течение одного рабочего дня с момента его оформления направляется аукционной комиссией в управление.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Управление в течение одного рабочего дня с момента поступления протокола о результатах аукциона размещает его на сайте электронной площадки.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Оператор электронной площадки прекращает блокирование операций по счетам претендентов на участие в аукционе, подавших заявки на участие в аукционе, признанных 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аукционной комиссией не соответствующими требованиям Порядка о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рганизации и проведения открытого аукциона в электронной форме на право заключения договора о предоставлении права на размещение НТО на территории муниципального образования город Краснодар, утверждённого постановлением администрации муниципального образов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ания город Краснодар от 17.08.2022 № 3734 «О размещении нестационарных торговых объектов на территории муниципального образования город Краснодар», и документации об аукционе, в отношении денежных средств в размере обеспечения заявки на участие в аукционе.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23" w:name="_Toc128319593"/>
      <w:r>
        <w:rPr>
          <w:rFonts w:ascii="PT Astra Serif" w:hAnsi="PT Astra Serif" w:eastAsia="PT Astra Serif" w:cs="PT Astra Serif" w:eastAsiaTheme="minorHAnsi"/>
        </w:rPr>
        <w:t xml:space="preserve">13. Начальный (минимальный) размер стоимости договора о предоставлении права на размещение НТО</w:t>
      </w:r>
      <w:bookmarkEnd w:id="23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Начальный (минимальный) размер стоимости договора о предоставлении права на размещение НТО определяется управ</w:t>
      </w:r>
      <w:r>
        <w:rPr>
          <w:rFonts w:ascii="PT Astra Serif" w:hAnsi="PT Astra Serif" w:eastAsia="PT Astra Serif" w:cs="PT Astra Serif" w:eastAsiaTheme="minorHAnsi"/>
          <w:sz w:val="24"/>
        </w:rPr>
        <w:t xml:space="preserve">лением согласно Методике определения начальной (минимальной) цены предмета открытого аукциона в электронной форме на право заключения договора о предоставлении права на размещение нестационарных торговых объектов на территории муниципального образования го</w:t>
      </w:r>
      <w:r>
        <w:rPr>
          <w:rFonts w:ascii="PT Astra Serif" w:hAnsi="PT Astra Serif" w:eastAsia="PT Astra Serif" w:cs="PT Astra Serif" w:eastAsiaTheme="minorHAnsi"/>
          <w:sz w:val="24"/>
        </w:rPr>
        <w:t xml:space="preserve">род Краснодар (далее - Методика), утверждённой постановлением администрации муниципального образования город Краснодар от 17.08.2022 № 3734 «О размещении нестационарных торговых объектов на территории муниципального образования город Краснодар». </w:t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  <w:u w:val="single"/>
        </w:rPr>
      </w:pPr>
      <w:r>
        <w:rPr>
          <w:rFonts w:ascii="PT Astra Serif" w:hAnsi="PT Astra Serif" w:eastAsia="PT Astra Serif" w:cs="PT Astra Serif" w:eastAsiaTheme="minorHAnsi"/>
          <w:sz w:val="24"/>
          <w:highlight w:val="none"/>
        </w:rPr>
      </w:r>
      <w:r>
        <w:rPr>
          <w:rFonts w:ascii="PT Astra Serif" w:hAnsi="PT Astra Serif" w:eastAsia="PT Astra Serif" w:cs="PT Astra Serif" w:eastAsiaTheme="minorHAnsi"/>
          <w:sz w:val="24"/>
        </w:rPr>
        <w:t xml:space="preserve">Начальный (минимальный) </w:t>
      </w:r>
      <w:r>
        <w:rPr>
          <w:rFonts w:ascii="PT Astra Serif" w:hAnsi="PT Astra Serif" w:eastAsia="PT Astra Serif" w:cs="PT Astra Serif" w:eastAsiaTheme="minorHAnsi"/>
          <w:sz w:val="24"/>
          <w:highlight w:val="none"/>
        </w:rPr>
        <w:t xml:space="preserve">размер стоимости договора в отношении каждого лота указан в приложении № 1 к аукционной документации.</w:t>
      </w:r>
      <w:r>
        <w:rPr>
          <w:rFonts w:ascii="PT Astra Serif" w:hAnsi="PT Astra Serif" w:cs="PT Astra Serif"/>
          <w:sz w:val="24"/>
          <w:szCs w:val="24"/>
          <w:u w:val="single"/>
        </w:rPr>
      </w:r>
      <w:r>
        <w:rPr>
          <w:rFonts w:ascii="PT Astra Serif" w:hAnsi="PT Astra Serif" w:cs="PT Astra Serif"/>
          <w:sz w:val="24"/>
          <w:szCs w:val="24"/>
          <w:u w:val="singl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24" w:name="_Toc128319594"/>
      <w:r>
        <w:rPr>
          <w:rFonts w:ascii="PT Astra Serif" w:hAnsi="PT Astra Serif" w:eastAsia="PT Astra Serif" w:cs="PT Astra Serif" w:eastAsiaTheme="minorHAnsi"/>
        </w:rPr>
        <w:t xml:space="preserve">14. Сведения о сроке оплаты права на заключение договора о предоставлении права на размещение НТО на территории муниципального образования город Краснодар</w:t>
      </w:r>
      <w:bookmarkEnd w:id="24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Договор о предоставлении права на размещение НТО заключается на условиях, указанных в извещении о проведении аукциона и до</w:t>
      </w:r>
      <w:r>
        <w:rPr>
          <w:rFonts w:ascii="PT Astra Serif" w:hAnsi="PT Astra Serif" w:eastAsia="PT Astra Serif" w:cs="PT Astra Serif" w:eastAsiaTheme="minorHAnsi"/>
          <w:sz w:val="24"/>
        </w:rPr>
        <w:t xml:space="preserve">кументации об аукционе, по цене, предложенной победителем аукциона, либо в случае заключения договора о предоставлении права на размещение НТО с иным участником аукциона по цене, предложенной таким участником аукциона, но не меньше начальной цены аукциона.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Задаток победителя аукциона засчитывается в счет исполнения обязательств по договору о</w:t>
      </w:r>
      <w:r>
        <w:rPr>
          <w:rFonts w:ascii="PT Astra Serif" w:hAnsi="PT Astra Serif" w:eastAsia="PT Astra Serif" w:cs="PT Astra Serif" w:eastAsiaTheme="minorHAnsi"/>
          <w:sz w:val="24"/>
        </w:rPr>
        <w:t xml:space="preserve"> предоставлении права на размещение НТО. Управление не позднее 3 рабочих дней с даты размещения на электронной площадке протокола о результатах аукциона направляет оператору электронной площадки поручение о перечислении денежных средств по итогам аукциона.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А</w:t>
      </w:r>
      <w:r>
        <w:rPr>
          <w:rFonts w:ascii="PT Astra Serif" w:hAnsi="PT Astra Serif" w:eastAsia="PT Astra Serif" w:cs="PT Astra Serif" w:eastAsiaTheme="minorHAnsi"/>
          <w:sz w:val="24"/>
        </w:rPr>
        <w:t xml:space="preserve">укционной документацией предусмотрено обязательство по внесению победителем аукциона или участником аукциона, сделавшим предпоследнее предложение о цене аукциона, первого платежа по договору</w:t>
      </w:r>
      <w:r>
        <w:rPr>
          <w:rFonts w:ascii="PT Astra Serif" w:hAnsi="PT Astra Serif" w:eastAsia="PT Astra Serif" w:cs="PT Astra Serif" w:eastAsiaTheme="minorHAnsi"/>
          <w:sz w:val="24"/>
        </w:rPr>
        <w:t xml:space="preserve">. В случае, если </w:t>
      </w:r>
      <w:r>
        <w:rPr>
          <w:rFonts w:ascii="PT Astra Serif" w:hAnsi="PT Astra Serif" w:eastAsia="PT Astra Serif" w:cs="PT Astra Serif" w:eastAsiaTheme="minorHAnsi"/>
          <w:sz w:val="24"/>
        </w:rPr>
        <w:t xml:space="preserve">сумма задатка превышает сумму такого платежа, разница между суммой задатка и суммой первого платежа по договору возвращается на сч</w:t>
      </w:r>
      <w:r>
        <w:rPr>
          <w:rFonts w:ascii="PT Astra Serif" w:hAnsi="PT Astra Serif" w:eastAsia="PT Astra Serif" w:cs="PT Astra Serif" w:eastAsiaTheme="minorHAnsi"/>
          <w:sz w:val="24"/>
        </w:rPr>
        <w:t xml:space="preserve">ё</w:t>
      </w:r>
      <w:r>
        <w:rPr>
          <w:rFonts w:ascii="PT Astra Serif" w:hAnsi="PT Astra Serif" w:eastAsia="PT Astra Serif" w:cs="PT Astra Serif" w:eastAsiaTheme="minorHAnsi"/>
          <w:sz w:val="24"/>
        </w:rPr>
        <w:t xml:space="preserve">т победителя аукциона или участника аукциона, сделавшего предпоследнее предложение о цене аукциона.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В случае невнесения платы в установленный Договором срок Правополучатель оплачивает пеню за каждый день просрочки в размере 0,2% от размера оплаты по Договору.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cs="PT Astra Serif"/>
          <w:highlight w:val="none"/>
        </w:rPr>
      </w:r>
      <w:r>
        <w:rPr>
          <w:rFonts w:ascii="PT Astra Serif" w:hAnsi="PT Astra Serif" w:cs="PT Astra Serif"/>
          <w:highlight w:val="none"/>
        </w:rPr>
      </w:r>
    </w:p>
    <w:p>
      <w:pPr>
        <w:pStyle w:val="860"/>
        <w:rPr>
          <w:rFonts w:ascii="PT Astra Serif" w:hAnsi="PT Astra Serif" w:cs="PT Astra Serif"/>
          <w:highlight w:val="none"/>
        </w:rPr>
        <w:outlineLvl w:val="0"/>
      </w:pPr>
      <w:r>
        <w:rPr>
          <w:rFonts w:ascii="PT Astra Serif" w:hAnsi="PT Astra Serif" w:eastAsia="PT Astra Serif" w:cs="PT Astra Serif"/>
        </w:rPr>
      </w:r>
      <w:bookmarkStart w:id="25" w:name="_Toc128319595"/>
      <w:r>
        <w:rPr>
          <w:rFonts w:ascii="PT Astra Serif" w:hAnsi="PT Astra Serif" w:eastAsia="PT Astra Serif" w:cs="PT Astra Serif" w:eastAsiaTheme="minorHAnsi"/>
        </w:rPr>
        <w:t xml:space="preserve">15. Величина повышения начальной цены договора о предоставлении права на размещение НТО («шаг аукциона»)</w:t>
      </w:r>
      <w:bookmarkEnd w:id="25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Шаг аукциона составляет пять процентов от начальной цены лота. 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 w:eastAsiaTheme="minorHAnsi"/>
        </w:rPr>
        <w:t xml:space="preserve">16. Сведения о сроке, в течение которого должен быть подписан договор о предоставлении права на размещение НТО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течение 5 рабочих дней со дня размещения на электронной площадке протокола 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о результатах аукциона управление направляет победителю аукциона проект договора, который составляется путем включения цены договора, предложенной участником аукциона, с которым заключается договор, в проект договора, прилагаемый к аукционной документации.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Заключение договора о предоставлении права на размещение НТО может осуществляться как в электронной 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форме с применением функционала электронной площадки, так и вне электронной площадки в соответствии с законодательством Российской Федерации, и с необходимым подтверждением его заключения управлением через функционал электронной площадки в личном кабинете.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Подписание договора о предоставлении права на размещение НТО на бумажном носителе осуществляется победителем аукциона в течение 5 рабочих дней со дня получения проекта договора. Подписанный договор победитель аукциона обязан представить в управление.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Договор может быть заключен не позднее 15 рабочих дней с даты размещения на электронной площадке протокола о результатах аукциона (протокола об отказе в заключении договора).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течение 3 рабочих дней с даты заключения договора управление размещает подписанный сторонами договор на электронной площадке.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 w:eastAsiaTheme="minorHAnsi"/>
          <w:highlight w:val="none"/>
        </w:rPr>
        <w:outlineLvl w:val="0"/>
      </w:pPr>
      <w:r>
        <w:rPr>
          <w:rFonts w:ascii="PT Astra Serif" w:hAnsi="PT Astra Serif" w:eastAsia="PT Astra Serif" w:cs="PT Astra Serif"/>
        </w:rPr>
      </w:r>
      <w:bookmarkStart w:id="27" w:name="_Toc128319597"/>
      <w:r>
        <w:rPr>
          <w:rFonts w:ascii="PT Astra Serif" w:hAnsi="PT Astra Serif" w:eastAsia="PT Astra Serif" w:cs="PT Astra Serif" w:eastAsiaTheme="minorHAnsi"/>
        </w:rPr>
        <w:t xml:space="preserve">17. </w:t>
      </w:r>
      <w:r>
        <w:rPr>
          <w:rFonts w:ascii="PT Astra Serif" w:hAnsi="PT Astra Serif" w:eastAsia="PT Astra Serif" w:cs="PT Astra Serif" w:eastAsiaTheme="minorHAnsi"/>
        </w:rPr>
        <w:t xml:space="preserve">Архитектурное решение НТО</w:t>
      </w:r>
      <w:bookmarkEnd w:id="27"/>
      <w:r>
        <w:rPr>
          <w:rFonts w:ascii="PT Astra Serif" w:hAnsi="PT Astra Serif" w:cs="PT Astra Serif" w:eastAsiaTheme="minorHAnsi"/>
          <w:highlight w:val="none"/>
        </w:rPr>
      </w:r>
      <w:r>
        <w:rPr>
          <w:rFonts w:ascii="PT Astra Serif" w:hAnsi="PT Astra Serif" w:cs="PT Astra Serif" w:eastAsiaTheme="minorHAnsi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73"/>
        <w:ind w:firstLine="539"/>
        <w:jc w:val="both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/>
          <w:sz w:val="24"/>
        </w:rPr>
        <w:t xml:space="preserve">Внешний вид НТО Правилами благоустройства территории муниципального образования город Краснодар, утверждёнными решением городской Думы Краснодара от 22.08.2013 № 52п.6, не установлен.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 w:eastAsiaTheme="minorHAnsi"/>
        </w:rPr>
      </w:pPr>
      <w:r>
        <w:rPr>
          <w:rFonts w:ascii="PT Astra Serif" w:hAnsi="PT Astra Serif" w:eastAsia="PT Astra Serif" w:cs="PT Astra Serif" w:eastAsiaTheme="minorHAnsi"/>
          <w:bCs/>
          <w:sz w:val="24"/>
          <w:lang w:eastAsia="ru-RU"/>
        </w:rPr>
        <w:tab/>
      </w:r>
      <w:r>
        <w:rPr>
          <w:rFonts w:ascii="PT Astra Serif" w:hAnsi="PT Astra Serif" w:cs="PT Astra Serif" w:eastAsiaTheme="minorHAnsi"/>
        </w:rPr>
      </w:r>
      <w:bookmarkStart w:id="28" w:name="_Toc128319598"/>
      <w:r>
        <w:rPr>
          <w:rFonts w:ascii="PT Astra Serif" w:hAnsi="PT Astra Serif" w:cs="PT Astra Serif" w:eastAsiaTheme="minorHAnsi"/>
        </w:rPr>
        <w:t xml:space="preserve">18. </w:t>
      </w:r>
      <w:r>
        <w:rPr>
          <w:rFonts w:ascii="PT Astra Serif" w:hAnsi="PT Astra Serif" w:cs="PT Astra Serif" w:eastAsiaTheme="minorHAnsi"/>
        </w:rPr>
        <w:t xml:space="preserve">С</w:t>
      </w:r>
      <w:r>
        <w:rPr>
          <w:rFonts w:ascii="PT Astra Serif" w:hAnsi="PT Astra Serif" w:cs="PT Astra Serif" w:eastAsiaTheme="minorHAnsi"/>
        </w:rPr>
        <w:t xml:space="preserve">пециал</w:t>
      </w:r>
      <w:r>
        <w:rPr>
          <w:rFonts w:ascii="PT Astra Serif" w:hAnsi="PT Astra Serif" w:cs="PT Astra Serif" w:eastAsiaTheme="minorHAnsi"/>
        </w:rPr>
        <w:t xml:space="preserve">изация НТО</w:t>
      </w:r>
      <w:bookmarkEnd w:id="28"/>
      <w:r>
        <w:rPr>
          <w:rFonts w:ascii="PT Astra Serif" w:hAnsi="PT Astra Serif" w:cs="PT Astra Serif" w:eastAsiaTheme="minorHAnsi"/>
        </w:rPr>
      </w:r>
      <w:r>
        <w:rPr>
          <w:rFonts w:ascii="PT Astra Serif" w:hAnsi="PT Astra Serif" w:cs="PT Astra Serif" w:eastAsiaTheme="minorHAnsi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Специализация НТО: 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молоко пастеризованное.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29" w:name="_Toc128319599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 w:eastAsiaTheme="minorHAnsi"/>
        </w:rPr>
        <w:t xml:space="preserve">1</w:t>
      </w:r>
      <w:r>
        <w:rPr>
          <w:rFonts w:ascii="PT Astra Serif" w:hAnsi="PT Astra Serif" w:eastAsia="PT Astra Serif" w:cs="PT Astra Serif" w:eastAsiaTheme="minorHAnsi"/>
        </w:rPr>
        <w:t xml:space="preserve">9. Период и срок размещения НТО</w:t>
      </w:r>
      <w:bookmarkEnd w:id="29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отношении 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лотов, указанных в приложении № 1 к аукционной документации - 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период размещения: 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tbl>
      <w:tblPr>
        <w:tblStyle w:val="711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>
        <w:tblPrEx/>
        <w:trPr/>
        <w:tc>
          <w:tcPr>
            <w:tcW w:w="46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год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период функционирования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46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2024-2025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widowControl w:val="off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с 01 ноября по 31 марта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239"/>
        </w:trPr>
        <w:tc>
          <w:tcPr>
            <w:tcW w:w="46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2025-2026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widowControl w:val="off"/>
              <w:rPr>
                <w:rFonts w:ascii="PT Astra Serif" w:hAnsi="PT Astra Serif" w:cs="PT Astra Serif" w:eastAsiaTheme="minorHAnsi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 w:cs="PT Astra Serif" w:eastAsiaTheme="minorHAnsi"/>
                <w:sz w:val="24"/>
                <w:szCs w:val="24"/>
              </w:rPr>
            </w:r>
            <w:r>
              <w:rPr>
                <w:rFonts w:ascii="PT Astra Serif" w:hAnsi="PT Astra Serif" w:cs="PT Astra Serif" w:eastAsiaTheme="minorHAnsi"/>
                <w:sz w:val="24"/>
                <w:szCs w:val="24"/>
              </w:rPr>
              <w:t xml:space="preserve">с 01 ноября по 31 марта</w:t>
            </w:r>
            <w:r>
              <w:rPr>
                <w:rFonts w:ascii="PT Astra Serif" w:hAnsi="PT Astra Serif" w:cs="PT Astra Serif" w:eastAsiaTheme="minorHAnsi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cs="PT Astra Serif" w:eastAsiaTheme="minorHAnsi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46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2026-2027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widowControl w:val="off"/>
              <w:rPr>
                <w:rFonts w:ascii="PT Astra Serif" w:hAnsi="PT Astra Serif" w:cs="PT Astra Serif" w:eastAsiaTheme="minorHAnsi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 w:cs="PT Astra Serif" w:eastAsiaTheme="minorHAnsi"/>
                <w:sz w:val="24"/>
                <w:szCs w:val="24"/>
              </w:rPr>
            </w:r>
            <w:r>
              <w:rPr>
                <w:rFonts w:ascii="PT Astra Serif" w:hAnsi="PT Astra Serif" w:cs="PT Astra Serif" w:eastAsiaTheme="minorHAnsi"/>
                <w:sz w:val="24"/>
                <w:szCs w:val="24"/>
              </w:rPr>
              <w:t xml:space="preserve">с 01 ноября по 31 марта</w:t>
            </w:r>
            <w:r>
              <w:rPr>
                <w:rFonts w:ascii="PT Astra Serif" w:hAnsi="PT Astra Serif" w:cs="PT Astra Serif" w:eastAsiaTheme="minorHAnsi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cs="PT Astra Serif" w:eastAsiaTheme="minorHAnsi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46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2027-2028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widowControl w:val="off"/>
              <w:rPr>
                <w:rFonts w:ascii="PT Astra Serif" w:hAnsi="PT Astra Serif" w:cs="PT Astra Serif" w:eastAsiaTheme="minorHAnsi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 w:cs="PT Astra Serif" w:eastAsiaTheme="minorHAnsi"/>
                <w:sz w:val="24"/>
                <w:szCs w:val="24"/>
              </w:rPr>
            </w:r>
            <w:r>
              <w:rPr>
                <w:rFonts w:ascii="PT Astra Serif" w:hAnsi="PT Astra Serif" w:cs="PT Astra Serif" w:eastAsiaTheme="minorHAnsi"/>
                <w:sz w:val="24"/>
                <w:szCs w:val="24"/>
              </w:rPr>
              <w:t xml:space="preserve">с 01 ноября по 31 марта</w:t>
            </w:r>
            <w:r>
              <w:rPr>
                <w:rFonts w:ascii="PT Astra Serif" w:hAnsi="PT Astra Serif" w:cs="PT Astra Serif" w:eastAsiaTheme="minorHAnsi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cs="PT Astra Serif" w:eastAsiaTheme="minorHAnsi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2028-2029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widowControl w:val="off"/>
              <w:rPr>
                <w:rFonts w:ascii="PT Astra Serif" w:hAnsi="PT Astra Serif" w:cs="PT Astra Serif" w:eastAsiaTheme="minorHAnsi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 w:cs="PT Astra Serif" w:eastAsiaTheme="minorHAnsi"/>
                <w:sz w:val="24"/>
                <w:szCs w:val="24"/>
              </w:rPr>
            </w:r>
            <w:r>
              <w:rPr>
                <w:rFonts w:ascii="PT Astra Serif" w:hAnsi="PT Astra Serif" w:cs="PT Astra Serif" w:eastAsiaTheme="minorHAnsi"/>
                <w:sz w:val="24"/>
                <w:szCs w:val="24"/>
              </w:rPr>
              <w:t xml:space="preserve">с 01 ноября по 31 марта</w:t>
            </w:r>
            <w:r>
              <w:rPr>
                <w:rFonts w:ascii="PT Astra Serif" w:hAnsi="PT Astra Serif" w:cs="PT Astra Serif" w:eastAsiaTheme="minorHAnsi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cs="PT Astra Serif" w:eastAsiaTheme="minorHAnsi"/>
                <w:sz w:val="24"/>
                <w:szCs w:val="24"/>
                <w14:ligatures w14:val="none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30" w:name="_Toc128319600"/>
      <w:r>
        <w:rPr>
          <w:rFonts w:ascii="PT Astra Serif" w:hAnsi="PT Astra Serif" w:eastAsia="PT Astra Serif" w:cs="PT Astra Serif" w:eastAsiaTheme="minorHAnsi"/>
        </w:rPr>
        <w:t xml:space="preserve">20. Сведения о проведении аукциона среди субъектов малого или среднего предпринимательства, осуществляющих торговую деятельн</w:t>
      </w:r>
      <w:r>
        <w:rPr>
          <w:rFonts w:ascii="PT Astra Serif" w:hAnsi="PT Astra Serif" w:eastAsia="PT Astra Serif" w:cs="PT Astra Serif" w:eastAsiaTheme="minorHAnsi"/>
        </w:rPr>
        <w:t xml:space="preserve">ость</w:t>
      </w:r>
      <w:bookmarkEnd w:id="30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аукционе вправе участвовать юридические лица индивидуальные предприниматели и самозанятые физические лица, в том числе субъекты малого и среднего предпринимательства.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31" w:name="_Toc128319601"/>
      <w:r>
        <w:rPr>
          <w:rFonts w:ascii="PT Astra Serif" w:hAnsi="PT Astra Serif" w:eastAsia="PT Astra Serif" w:cs="PT Astra Serif" w:eastAsiaTheme="minorHAnsi"/>
        </w:rPr>
        <w:t xml:space="preserve">21. Иная информация,</w:t>
      </w:r>
      <w:r>
        <w:rPr>
          <w:rFonts w:ascii="PT Astra Serif" w:hAnsi="PT Astra Serif" w:eastAsia="PT Astra Serif" w:cs="PT Astra Serif" w:eastAsiaTheme="minorHAnsi"/>
        </w:rPr>
        <w:t xml:space="preserve"> касающаяся проведения аукциона</w:t>
      </w:r>
      <w:bookmarkEnd w:id="31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Аукцион проводится в соответствии с Гражданским кодексом Российской Федерации, Федеральными  законами от 28.12.2009 № 381-ФЗ «Об основах государственного регулирования торговой деятельности в Россий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ской Федерации», от 06.10.2003 № 131-ФЗ «Об общих принципах организации местного самоуправления в Российской Федерации», от 26.07.2006 № 135-ФЗ «О защите конкуренции», Законом Краснодарского края от 31.05.2005 № 879-КЗ «О государственной политике Краснодар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ского края в сфере торговой деятельности», постановлением главы администрации (губернатора) Краснодарского края от 11.11.2014 № 1249 «Об утверждении Порядка разработки и утверждения органами местного самоуправления схем размещения нестационарных торговых о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бъектов на территории Краснодарского края», постановлением администрации муниципального образования город Краснодар от 17.08.2022 № 3734 «О размещении нестационарных торговых объектов на территории муниципального образования город Краснодар».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eastAsia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bCs/>
          <w:sz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28705872"/>
      <w:docPartObj>
        <w:docPartGallery w:val="Page Numbers (Top of Page)"/>
        <w:docPartUnique w:val="true"/>
      </w:docPartObj>
      <w:rPr/>
    </w:sdtPr>
    <w:sdtContent>
      <w:p>
        <w:pPr>
          <w:pStyle w:val="866"/>
          <w:jc w:val="center"/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</w:rPr>
          <w:t xml:space="preserve">10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/>
      </w:p>
    </w:sdtContent>
  </w:sdt>
  <w:p>
    <w:pPr>
      <w:pStyle w:val="86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 w:eastAsia="Times New Roman"/>
        <w:color w:val="00000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 w:eastAsia="Times New Roman"/>
        <w:color w:val="00000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2">
    <w:name w:val="Heading 1 Char"/>
    <w:basedOn w:val="853"/>
    <w:link w:val="852"/>
    <w:uiPriority w:val="9"/>
    <w:rPr>
      <w:rFonts w:ascii="Arial" w:hAnsi="Arial" w:eastAsia="Arial" w:cs="Arial"/>
      <w:sz w:val="40"/>
      <w:szCs w:val="40"/>
    </w:rPr>
  </w:style>
  <w:style w:type="paragraph" w:styleId="683">
    <w:name w:val="Heading 2"/>
    <w:basedOn w:val="851"/>
    <w:next w:val="851"/>
    <w:link w:val="6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4">
    <w:name w:val="Heading 2 Char"/>
    <w:basedOn w:val="853"/>
    <w:link w:val="683"/>
    <w:uiPriority w:val="9"/>
    <w:rPr>
      <w:rFonts w:ascii="Arial" w:hAnsi="Arial" w:eastAsia="Arial" w:cs="Arial"/>
      <w:sz w:val="34"/>
    </w:rPr>
  </w:style>
  <w:style w:type="paragraph" w:styleId="685">
    <w:name w:val="Heading 3"/>
    <w:basedOn w:val="851"/>
    <w:next w:val="851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6">
    <w:name w:val="Heading 3 Char"/>
    <w:basedOn w:val="853"/>
    <w:link w:val="685"/>
    <w:uiPriority w:val="9"/>
    <w:rPr>
      <w:rFonts w:ascii="Arial" w:hAnsi="Arial" w:eastAsia="Arial" w:cs="Arial"/>
      <w:sz w:val="30"/>
      <w:szCs w:val="30"/>
    </w:rPr>
  </w:style>
  <w:style w:type="paragraph" w:styleId="687">
    <w:name w:val="Heading 4"/>
    <w:basedOn w:val="851"/>
    <w:next w:val="851"/>
    <w:link w:val="6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8">
    <w:name w:val="Heading 4 Char"/>
    <w:basedOn w:val="85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851"/>
    <w:next w:val="851"/>
    <w:link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0">
    <w:name w:val="Heading 5 Char"/>
    <w:basedOn w:val="853"/>
    <w:link w:val="689"/>
    <w:uiPriority w:val="9"/>
    <w:rPr>
      <w:rFonts w:ascii="Arial" w:hAnsi="Arial" w:eastAsia="Arial" w:cs="Arial"/>
      <w:b/>
      <w:bCs/>
      <w:sz w:val="24"/>
      <w:szCs w:val="24"/>
    </w:rPr>
  </w:style>
  <w:style w:type="paragraph" w:styleId="691">
    <w:name w:val="Heading 6"/>
    <w:basedOn w:val="851"/>
    <w:next w:val="851"/>
    <w:link w:val="6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2">
    <w:name w:val="Heading 6 Char"/>
    <w:basedOn w:val="853"/>
    <w:link w:val="691"/>
    <w:uiPriority w:val="9"/>
    <w:rPr>
      <w:rFonts w:ascii="Arial" w:hAnsi="Arial" w:eastAsia="Arial" w:cs="Arial"/>
      <w:b/>
      <w:bCs/>
      <w:sz w:val="22"/>
      <w:szCs w:val="22"/>
    </w:rPr>
  </w:style>
  <w:style w:type="paragraph" w:styleId="693">
    <w:name w:val="Heading 7"/>
    <w:basedOn w:val="851"/>
    <w:next w:val="851"/>
    <w:link w:val="6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4">
    <w:name w:val="Heading 7 Char"/>
    <w:basedOn w:val="853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851"/>
    <w:next w:val="851"/>
    <w:link w:val="6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6">
    <w:name w:val="Heading 8 Char"/>
    <w:basedOn w:val="853"/>
    <w:link w:val="695"/>
    <w:uiPriority w:val="9"/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851"/>
    <w:next w:val="851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>
    <w:name w:val="Heading 9 Char"/>
    <w:basedOn w:val="853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No Spacing"/>
    <w:uiPriority w:val="1"/>
    <w:qFormat/>
    <w:pPr>
      <w:spacing w:before="0" w:after="0" w:line="240" w:lineRule="auto"/>
    </w:pPr>
  </w:style>
  <w:style w:type="character" w:styleId="700">
    <w:name w:val="Title Char"/>
    <w:basedOn w:val="853"/>
    <w:link w:val="860"/>
    <w:uiPriority w:val="10"/>
    <w:rPr>
      <w:sz w:val="48"/>
      <w:szCs w:val="48"/>
    </w:rPr>
  </w:style>
  <w:style w:type="paragraph" w:styleId="701">
    <w:name w:val="Subtitle"/>
    <w:basedOn w:val="851"/>
    <w:next w:val="851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basedOn w:val="853"/>
    <w:link w:val="701"/>
    <w:uiPriority w:val="11"/>
    <w:rPr>
      <w:sz w:val="24"/>
      <w:szCs w:val="24"/>
    </w:rPr>
  </w:style>
  <w:style w:type="paragraph" w:styleId="703">
    <w:name w:val="Quote"/>
    <w:basedOn w:val="851"/>
    <w:next w:val="851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1"/>
    <w:next w:val="851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character" w:styleId="707">
    <w:name w:val="Header Char"/>
    <w:basedOn w:val="853"/>
    <w:link w:val="866"/>
    <w:uiPriority w:val="99"/>
  </w:style>
  <w:style w:type="character" w:styleId="708">
    <w:name w:val="Footer Char"/>
    <w:basedOn w:val="853"/>
    <w:link w:val="868"/>
    <w:uiPriority w:val="99"/>
  </w:style>
  <w:style w:type="paragraph" w:styleId="709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868"/>
    <w:uiPriority w:val="99"/>
  </w:style>
  <w:style w:type="table" w:styleId="711">
    <w:name w:val="Table Grid"/>
    <w:basedOn w:val="8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11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2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3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4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15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6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18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9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0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1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22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3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25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6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7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8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29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0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7">
    <w:name w:val="footnote text"/>
    <w:basedOn w:val="851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basedOn w:val="853"/>
    <w:uiPriority w:val="99"/>
    <w:unhideWhenUsed/>
    <w:rPr>
      <w:vertAlign w:val="superscript"/>
    </w:rPr>
  </w:style>
  <w:style w:type="paragraph" w:styleId="840">
    <w:name w:val="endnote text"/>
    <w:basedOn w:val="851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basedOn w:val="853"/>
    <w:uiPriority w:val="99"/>
    <w:semiHidden/>
    <w:unhideWhenUsed/>
    <w:rPr>
      <w:vertAlign w:val="superscript"/>
    </w:rPr>
  </w:style>
  <w:style w:type="paragraph" w:styleId="843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  <w:pPr>
      <w:spacing w:after="200" w:line="276" w:lineRule="auto"/>
    </w:pPr>
    <w:rPr>
      <w:rFonts w:ascii="Calibri" w:hAnsi="Calibri" w:eastAsia="Times New Roman" w:cs="Times New Roman"/>
    </w:rPr>
  </w:style>
  <w:style w:type="paragraph" w:styleId="852">
    <w:name w:val="Heading 1"/>
    <w:basedOn w:val="851"/>
    <w:next w:val="851"/>
    <w:link w:val="862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853" w:default="1">
    <w:name w:val="Default Paragraph Font"/>
    <w:uiPriority w:val="1"/>
    <w:semiHidden/>
    <w:unhideWhenUsed/>
  </w:style>
  <w:style w:type="table" w:styleId="8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paragraph" w:styleId="856">
    <w:name w:val="List Paragraph"/>
    <w:basedOn w:val="851"/>
    <w:link w:val="857"/>
    <w:uiPriority w:val="34"/>
    <w:qFormat/>
    <w:pPr>
      <w:contextualSpacing/>
      <w:ind w:left="720"/>
    </w:pPr>
    <w:rPr>
      <w:rFonts w:eastAsia="Calibri"/>
    </w:rPr>
  </w:style>
  <w:style w:type="character" w:styleId="857" w:customStyle="1">
    <w:name w:val="Абзац списка Знак"/>
    <w:link w:val="856"/>
    <w:uiPriority w:val="34"/>
    <w:rPr>
      <w:rFonts w:ascii="Calibri" w:hAnsi="Calibri" w:eastAsia="Calibri" w:cs="Times New Roman"/>
    </w:rPr>
  </w:style>
  <w:style w:type="paragraph" w:styleId="858">
    <w:name w:val="Body Text"/>
    <w:basedOn w:val="851"/>
    <w:link w:val="859"/>
    <w:uiPriority w:val="99"/>
    <w:pPr>
      <w:spacing w:after="120"/>
    </w:pPr>
    <w:rPr>
      <w:sz w:val="20"/>
      <w:szCs w:val="20"/>
    </w:rPr>
  </w:style>
  <w:style w:type="character" w:styleId="859" w:customStyle="1">
    <w:name w:val="Основной текст Знак"/>
    <w:basedOn w:val="853"/>
    <w:link w:val="858"/>
    <w:uiPriority w:val="99"/>
    <w:rPr>
      <w:rFonts w:ascii="Calibri" w:hAnsi="Calibri" w:eastAsia="Times New Roman" w:cs="Times New Roman"/>
      <w:sz w:val="20"/>
      <w:szCs w:val="20"/>
    </w:rPr>
  </w:style>
  <w:style w:type="paragraph" w:styleId="860">
    <w:name w:val="Title"/>
    <w:basedOn w:val="851"/>
    <w:link w:val="861"/>
    <w:qFormat/>
    <w:pPr>
      <w:jc w:val="center"/>
      <w:spacing w:after="0" w:line="240" w:lineRule="auto"/>
    </w:pPr>
    <w:rPr>
      <w:rFonts w:ascii="Times New Roman" w:hAnsi="Times New Roman"/>
      <w:b/>
      <w:sz w:val="28"/>
      <w:szCs w:val="20"/>
    </w:rPr>
  </w:style>
  <w:style w:type="character" w:styleId="861" w:customStyle="1">
    <w:name w:val="Заголовок Знак"/>
    <w:basedOn w:val="853"/>
    <w:link w:val="860"/>
    <w:rPr>
      <w:rFonts w:ascii="Times New Roman" w:hAnsi="Times New Roman" w:eastAsia="Times New Roman" w:cs="Times New Roman"/>
      <w:b/>
      <w:sz w:val="28"/>
      <w:szCs w:val="20"/>
    </w:rPr>
  </w:style>
  <w:style w:type="character" w:styleId="862" w:customStyle="1">
    <w:name w:val="Заголовок 1 Знак"/>
    <w:basedOn w:val="853"/>
    <w:link w:val="852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863">
    <w:name w:val="TOC Heading"/>
    <w:basedOn w:val="852"/>
    <w:next w:val="851"/>
    <w:uiPriority w:val="39"/>
    <w:unhideWhenUsed/>
    <w:qFormat/>
    <w:pPr>
      <w:spacing w:line="259" w:lineRule="auto"/>
      <w:outlineLvl w:val="9"/>
    </w:pPr>
    <w:rPr>
      <w:lang w:eastAsia="ru-RU"/>
    </w:rPr>
  </w:style>
  <w:style w:type="paragraph" w:styleId="864">
    <w:name w:val="toc 1"/>
    <w:basedOn w:val="851"/>
    <w:next w:val="851"/>
    <w:uiPriority w:val="39"/>
    <w:unhideWhenUsed/>
    <w:pPr>
      <w:spacing w:after="100"/>
    </w:pPr>
  </w:style>
  <w:style w:type="character" w:styleId="865">
    <w:name w:val="Hyperlink"/>
    <w:basedOn w:val="853"/>
    <w:uiPriority w:val="99"/>
    <w:unhideWhenUsed/>
    <w:rPr>
      <w:color w:val="0563c1" w:themeColor="hyperlink"/>
      <w:u w:val="single"/>
    </w:rPr>
  </w:style>
  <w:style w:type="paragraph" w:styleId="866">
    <w:name w:val="Header"/>
    <w:basedOn w:val="851"/>
    <w:link w:val="86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7" w:customStyle="1">
    <w:name w:val="Верхний колонтитул Знак"/>
    <w:basedOn w:val="853"/>
    <w:link w:val="866"/>
    <w:uiPriority w:val="99"/>
    <w:rPr>
      <w:rFonts w:ascii="Calibri" w:hAnsi="Calibri" w:eastAsia="Times New Roman" w:cs="Times New Roman"/>
    </w:rPr>
  </w:style>
  <w:style w:type="paragraph" w:styleId="868">
    <w:name w:val="Footer"/>
    <w:basedOn w:val="851"/>
    <w:link w:val="86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9" w:customStyle="1">
    <w:name w:val="Нижний колонтитул Знак"/>
    <w:basedOn w:val="853"/>
    <w:link w:val="868"/>
    <w:uiPriority w:val="99"/>
    <w:rPr>
      <w:rFonts w:ascii="Calibri" w:hAnsi="Calibri" w:eastAsia="Times New Roman" w:cs="Times New Roman"/>
    </w:rPr>
  </w:style>
  <w:style w:type="paragraph" w:styleId="870" w:customStyle="1">
    <w:name w:val="основной"/>
    <w:basedOn w:val="851"/>
    <w:pPr>
      <w:ind w:left="1" w:right="1" w:firstLine="284"/>
      <w:jc w:val="both"/>
      <w:spacing w:before="1" w:after="1" w:line="240" w:lineRule="auto"/>
      <w:widowControl w:val="off"/>
    </w:pPr>
    <w:rPr>
      <w:rFonts w:ascii="Times New Roman" w:hAnsi="Times New Roman"/>
      <w:sz w:val="20"/>
      <w:szCs w:val="20"/>
      <w:lang w:val="en-US"/>
    </w:rPr>
  </w:style>
  <w:style w:type="paragraph" w:styleId="871">
    <w:name w:val="toc 2"/>
    <w:basedOn w:val="851"/>
    <w:next w:val="851"/>
    <w:uiPriority w:val="39"/>
    <w:unhideWhenUsed/>
    <w:pPr>
      <w:ind w:left="220"/>
      <w:spacing w:after="100"/>
    </w:pPr>
  </w:style>
  <w:style w:type="character" w:styleId="872" w:customStyle="1">
    <w:name w:val="Неразрешенное упоминание1"/>
    <w:basedOn w:val="853"/>
    <w:uiPriority w:val="99"/>
    <w:semiHidden/>
    <w:unhideWhenUsed/>
    <w:rPr>
      <w:color w:val="605e5c"/>
      <w:shd w:val="clear" w:color="auto" w:fill="e1dfdd"/>
    </w:rPr>
  </w:style>
  <w:style w:type="paragraph" w:styleId="873" w:customStyle="1">
    <w:name w:val="ConsPlusNormal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  <w:style w:type="paragraph" w:styleId="874">
    <w:name w:val="Balloon Text"/>
    <w:basedOn w:val="851"/>
    <w:link w:val="87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75" w:customStyle="1">
    <w:name w:val="Текст выноски Знак"/>
    <w:basedOn w:val="853"/>
    <w:link w:val="874"/>
    <w:uiPriority w:val="99"/>
    <w:semiHidden/>
    <w:rPr>
      <w:rFonts w:ascii="Segoe UI" w:hAnsi="Segoe UI" w:eastAsia="Times New Roman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mailto:dpr@krd.ru" TargetMode="External"/><Relationship Id="rId12" Type="http://schemas.openxmlformats.org/officeDocument/2006/relationships/hyperlink" Target="https://www.roseltorg.ru" TargetMode="External"/><Relationship Id="rId13" Type="http://schemas.openxmlformats.org/officeDocument/2006/relationships/hyperlink" Target="https://krd.ru/" TargetMode="External"/><Relationship Id="rId14" Type="http://schemas.openxmlformats.org/officeDocument/2006/relationships/hyperlink" Target="https://www.roseltorg.ru" TargetMode="External"/><Relationship Id="rId15" Type="http://schemas.openxmlformats.org/officeDocument/2006/relationships/hyperlink" Target="http://www.krd.ru" TargetMode="External"/><Relationship Id="rId16" Type="http://schemas.openxmlformats.org/officeDocument/2006/relationships/hyperlink" Target="https://www.roseltorg.ru" TargetMode="External"/><Relationship Id="rId17" Type="http://schemas.openxmlformats.org/officeDocument/2006/relationships/hyperlink" Target="https://www.roseltorg.ru" TargetMode="External"/><Relationship Id="rId18" Type="http://schemas.openxmlformats.org/officeDocument/2006/relationships/hyperlink" Target="consultantplus://offline/ref=1218D3E2E8B0236D4DDC10D3C996584244E9E6E20184CBB970B3D9E57F0E06ACC7DDBE411D63414BF2D58B1A402631B795C51520A28457FDB5E48E55k47FK" TargetMode="External"/><Relationship Id="rId19" Type="http://schemas.openxmlformats.org/officeDocument/2006/relationships/hyperlink" Target="consultantplus://offline/ref=1218D3E2E8B0236D4DDC10D3C996584244E9E6E20184CBB970B3D9E57F0E06ACC7DDBE411D63414BF2D48A1B492631B795C51520A28457FDB5E48E55k47FK" TargetMode="External"/><Relationship Id="rId20" Type="http://schemas.openxmlformats.org/officeDocument/2006/relationships/hyperlink" Target="consultantplus://offline/ref=1218D3E2E8B0236D4DDC10D3C996584244E9E6E20184CBB970B3D9E57F0E06ACC7DDBE411D63414BF2D48A1B492631B795C51520A28457FDB5E48E55k47FK" TargetMode="External"/><Relationship Id="rId21" Type="http://schemas.openxmlformats.org/officeDocument/2006/relationships/hyperlink" Target="consultantplus://offline/ref=09326C82622E71E7A8ECA149509DFF304A7B360D16A24D375EADEA8A1014FCFAD56AE55061B32E32B0DBB01440U3IFJ" TargetMode="External"/><Relationship Id="rId2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4DB50-2B3E-46B0-8E12-D88AE5FB3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AMOgK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Жадан В.В.</dc:creator>
  <cp:keywords/>
  <dc:description/>
  <cp:revision>17</cp:revision>
  <dcterms:created xsi:type="dcterms:W3CDTF">2023-03-29T14:14:00Z</dcterms:created>
  <dcterms:modified xsi:type="dcterms:W3CDTF">2024-09-24T06:24:20Z</dcterms:modified>
</cp:coreProperties>
</file>