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word/charts/style16.xml" ContentType="application/vnd.ms-office.chartstyle+xml"/>
  <Override PartName="/word/charts/colors16.xml" ContentType="application/vnd.ms-office.chartcolorstyle+xml"/>
  <Override PartName="/word/charts/chart22.xml" ContentType="application/vnd.openxmlformats-officedocument.drawingml.chart+xml"/>
  <Override PartName="/word/charts/style15.xml" ContentType="application/vnd.ms-office.chartstyle+xml"/>
  <Override PartName="/word/charts/chart21.xml" ContentType="application/vnd.openxmlformats-officedocument.drawingml.chart+xml"/>
  <Override PartName="/word/charts/chart20.xml" ContentType="application/vnd.openxmlformats-officedocument.drawingml.chart+xml"/>
  <Override PartName="/word/charts/chart18.xml" ContentType="application/vnd.openxmlformats-officedocument.drawingml.chart+xml"/>
  <Override PartName="/word/charts/chart15.xml" ContentType="application/vnd.openxmlformats-officedocument.drawingml.chart+xml"/>
  <Override PartName="/word/charts/colors15.xml" ContentType="application/vnd.ms-office.chartcolorstyle+xml"/>
  <Override PartName="/word/charts/style14.xml" ContentType="application/vnd.ms-office.chartstyle+xml"/>
  <Override PartName="/word/charts/colors13.xml" ContentType="application/vnd.ms-office.chartcolorstyle+xml"/>
  <Override PartName="/word/charts/chart23.xml" ContentType="application/vnd.openxmlformats-officedocument.drawingml.chart+xml"/>
  <Override PartName="/word/charts/chart13.xml" ContentType="application/vnd.openxmlformats-officedocument.drawingml.chart+xml"/>
  <Override PartName="/word/charts/chart19.xml" ContentType="application/vnd.openxmlformats-officedocument.drawingml.chart+xml"/>
  <Override PartName="/word/charts/chart12.xml" ContentType="application/vnd.openxmlformats-officedocument.drawingml.chart+xml"/>
  <Override PartName="/word/charts/chart11.xml" ContentType="application/vnd.openxmlformats-officedocument.drawingml.chart+xml"/>
  <Override PartName="/word/charts/colors10.xml" ContentType="application/vnd.ms-office.chartcolorstyle+xml"/>
  <Override PartName="/word/charts/style13.xml" ContentType="application/vnd.ms-office.chartstyle+xml"/>
  <Override PartName="/word/charts/style9.xml" ContentType="application/vnd.ms-office.chartstyle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style7.xml" ContentType="application/vnd.ms-office.chartstyle+xml"/>
  <Override PartName="/word/charts/colors7.xml" ContentType="application/vnd.ms-office.chartcolorstyle+xml"/>
  <Override PartName="/word/charts/chart14.xml" ContentType="application/vnd.openxmlformats-officedocument.drawingml.chart+xml"/>
  <Override PartName="/word/charts/chart7.xml" ContentType="application/vnd.openxmlformats-officedocument.drawingml.chart+xml"/>
  <Override PartName="/word/charts/chart10.xml" ContentType="application/vnd.openxmlformats-officedocument.drawingml.chart+xml"/>
  <Override PartName="/word/charts/style12.xml" ContentType="application/vnd.ms-office.chartstyle+xml"/>
  <Override PartName="/word/charts/style6.xml" ContentType="application/vnd.ms-office.chartstyle+xml"/>
  <Override PartName="/word/charts/chart6.xml" ContentType="application/vnd.openxmlformats-officedocument.drawingml.chart+xml"/>
  <Override PartName="/word/charts/colors5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style2.xml" ContentType="application/vnd.ms-office.chartstyle+xml"/>
  <Override PartName="/word/charts/colors3.xml" ContentType="application/vnd.ms-office.chartcolorstyle+xml"/>
  <Override PartName="/word/charts/chart2.xml" ContentType="application/vnd.openxmlformats-officedocument.drawingml.chart+xml"/>
  <Override PartName="/word/charts/style4.xml" ContentType="application/vnd.ms-office.chartstyle+xml"/>
  <Override PartName="/word/charts/colors2.xml" ContentType="application/vnd.ms-office.chartcolorstyle+xml"/>
  <Override PartName="/word/charts/chart8.xml" ContentType="application/vnd.openxmlformats-officedocument.drawingml.chart+xml"/>
  <Override PartName="/word/charts/colors9.xml" ContentType="application/vnd.ms-office.chartcolorstyle+xml"/>
  <Override PartName="/word/charts/style11.xml" ContentType="application/vnd.ms-office.chartstyle+xml"/>
  <Override PartName="/word/drawings/drawing1.xml" ContentType="application/vnd.openxmlformats-officedocument.drawingml.chartshapes+xml"/>
  <Override PartName="/word/charts/colors6.xml" ContentType="application/vnd.ms-office.chartcolorstyle+xml"/>
  <Override PartName="/word/charts/style1.xml" ContentType="application/vnd.ms-office.chartstyle+xml"/>
  <Override PartName="/word/charts/colors4.xml" ContentType="application/vnd.ms-office.chartcolorstyle+xml"/>
  <Override PartName="/word/charts/style5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charts/colors11.xml" ContentType="application/vnd.ms-office.chartcolorsty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charts/style10.xml" ContentType="application/vnd.ms-office.chartstyle+xml"/>
  <Override PartName="/word/charts/colors14.xml" ContentType="application/vnd.ms-office.chartcolorstyle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charts/chart17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olors12.xml" ContentType="application/vnd.ms-office.chartcolorsty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1"/>
        <w:ind w:left="0" w:firstLine="0"/>
        <w:spacing w:before="240" w:after="0" w:line="276" w:lineRule="auto"/>
        <w:rPr>
          <w:rFonts w:ascii="Times New Roman" w:hAnsi="Times New Roman"/>
          <w:b/>
          <w:sz w:val="48"/>
          <w:szCs w:val="4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666750"/>
                <wp:effectExtent l="0" t="0" r="0" b="0"/>
                <wp:docPr id="1" name="Рисунок 179" descr="D:\МОИ ДОКУМЕНТЫ\СТАНДАРТ РАЗВИТИЯ КОНКУРЕНЦИИ в МОгК\ВНЕДРЕНИЕ СТАНДАРТА КОНКУРЕНЦИИ    2020 год\ОТЧЁТ-2020\от подразделений к отчету\Coat_of_Arms_of_Krasnodar_(Krasnodar_krai).png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79" descr="D:\МОИ ДОКУМЕНТЫ\СТАНДАРТ РАЗВИТИЯ КОНКУРЕНЦИИ в МОгК\ВНЕДРЕНИЕ СТАНДАРТА КОНКУРЕНЦИИ    2020 год\ОТЧЁТ-2020\от подразделений к отчету\Coat_of_Arms_of_Krasnodar_(Krasnodar_krai).png" titl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001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52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sz w:val="48"/>
          <w:szCs w:val="48"/>
        </w:rPr>
      </w:r>
      <w:r>
        <w:rPr>
          <w:rFonts w:ascii="Times New Roman" w:hAnsi="Times New Roman"/>
          <w:b/>
          <w:sz w:val="48"/>
          <w:szCs w:val="48"/>
        </w:rPr>
      </w:r>
    </w:p>
    <w:p>
      <w:pPr>
        <w:pStyle w:val="800"/>
        <w:jc w:val="center"/>
        <w:spacing w:before="0" w:after="0" w:line="276" w:lineRule="auto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</w:r>
      <w:r>
        <w:rPr>
          <w:rFonts w:ascii="Times New Roman" w:hAnsi="Times New Roman"/>
          <w:b/>
          <w:sz w:val="48"/>
          <w:szCs w:val="48"/>
        </w:rPr>
      </w:r>
      <w:r>
        <w:rPr>
          <w:rFonts w:ascii="Times New Roman" w:hAnsi="Times New Roman"/>
          <w:b/>
          <w:sz w:val="48"/>
          <w:szCs w:val="48"/>
        </w:rPr>
      </w:r>
    </w:p>
    <w:p>
      <w:pPr>
        <w:pStyle w:val="800"/>
        <w:jc w:val="center"/>
        <w:spacing w:before="0" w:after="0" w:line="276" w:lineRule="auto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</w:r>
      <w:r>
        <w:rPr>
          <w:rFonts w:ascii="Times New Roman" w:hAnsi="Times New Roman"/>
          <w:b/>
          <w:sz w:val="48"/>
          <w:szCs w:val="48"/>
        </w:rPr>
      </w:r>
      <w:r>
        <w:rPr>
          <w:rFonts w:ascii="Times New Roman" w:hAnsi="Times New Roman"/>
          <w:b/>
          <w:sz w:val="48"/>
          <w:szCs w:val="48"/>
        </w:rPr>
      </w:r>
    </w:p>
    <w:p>
      <w:pPr>
        <w:pStyle w:val="800"/>
        <w:jc w:val="center"/>
        <w:spacing w:before="0" w:after="0" w:line="276" w:lineRule="auto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</w:r>
      <w:r>
        <w:rPr>
          <w:rFonts w:ascii="Times New Roman" w:hAnsi="Times New Roman"/>
          <w:b/>
          <w:sz w:val="48"/>
          <w:szCs w:val="48"/>
        </w:rPr>
      </w:r>
      <w:r>
        <w:rPr>
          <w:rFonts w:ascii="Times New Roman" w:hAnsi="Times New Roman"/>
          <w:b/>
          <w:sz w:val="48"/>
          <w:szCs w:val="48"/>
        </w:rPr>
      </w:r>
    </w:p>
    <w:p>
      <w:pPr>
        <w:pStyle w:val="800"/>
        <w:jc w:val="center"/>
        <w:spacing w:before="0" w:after="0" w:line="276" w:lineRule="auto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</w:r>
      <w:r>
        <w:rPr>
          <w:rFonts w:ascii="Times New Roman" w:hAnsi="Times New Roman"/>
          <w:b/>
          <w:sz w:val="48"/>
          <w:szCs w:val="48"/>
        </w:rPr>
      </w:r>
      <w:r>
        <w:rPr>
          <w:rFonts w:ascii="Times New Roman" w:hAnsi="Times New Roman"/>
          <w:b/>
          <w:sz w:val="48"/>
          <w:szCs w:val="48"/>
        </w:rPr>
      </w:r>
    </w:p>
    <w:p>
      <w:pPr>
        <w:pStyle w:val="800"/>
        <w:jc w:val="center"/>
        <w:spacing w:before="0" w:after="0" w:line="276" w:lineRule="auto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</w:r>
      <w:r>
        <w:rPr>
          <w:rFonts w:ascii="Times New Roman" w:hAnsi="Times New Roman"/>
          <w:b/>
          <w:sz w:val="48"/>
          <w:szCs w:val="48"/>
        </w:rPr>
      </w:r>
      <w:r>
        <w:rPr>
          <w:rFonts w:ascii="Times New Roman" w:hAnsi="Times New Roman"/>
          <w:b/>
          <w:sz w:val="48"/>
          <w:szCs w:val="48"/>
        </w:rPr>
      </w:r>
    </w:p>
    <w:p>
      <w:pPr>
        <w:pStyle w:val="800"/>
        <w:jc w:val="center"/>
        <w:spacing w:before="0" w:after="0" w:line="276" w:lineRule="auto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</w:r>
      <w:r>
        <w:rPr>
          <w:rFonts w:ascii="Times New Roman" w:hAnsi="Times New Roman"/>
          <w:b/>
          <w:sz w:val="48"/>
          <w:szCs w:val="48"/>
        </w:rPr>
      </w:r>
      <w:r>
        <w:rPr>
          <w:rFonts w:ascii="Times New Roman" w:hAnsi="Times New Roman"/>
          <w:b/>
          <w:sz w:val="48"/>
          <w:szCs w:val="48"/>
        </w:rPr>
      </w:r>
    </w:p>
    <w:p>
      <w:pPr>
        <w:pStyle w:val="800"/>
        <w:jc w:val="center"/>
        <w:spacing w:before="0" w:after="0" w:line="276" w:lineRule="auto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ОТЧЁТ</w:t>
      </w:r>
      <w:r>
        <w:rPr>
          <w:rFonts w:ascii="Times New Roman" w:hAnsi="Times New Roman"/>
          <w:b/>
          <w:sz w:val="48"/>
          <w:szCs w:val="48"/>
        </w:rPr>
      </w:r>
      <w:r>
        <w:rPr>
          <w:rFonts w:ascii="Times New Roman" w:hAnsi="Times New Roman"/>
          <w:b/>
          <w:sz w:val="48"/>
          <w:szCs w:val="48"/>
        </w:rPr>
      </w:r>
    </w:p>
    <w:p>
      <w:pPr>
        <w:pStyle w:val="800"/>
        <w:jc w:val="center"/>
        <w:spacing w:before="0" w:after="0" w:line="276" w:lineRule="auto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«Состояние и развитие конкуренции </w:t>
      </w:r>
      <w:r>
        <w:rPr>
          <w:rFonts w:ascii="Times New Roman" w:hAnsi="Times New Roman"/>
          <w:b/>
          <w:sz w:val="44"/>
          <w:szCs w:val="44"/>
        </w:rPr>
      </w:r>
      <w:r>
        <w:rPr>
          <w:rFonts w:ascii="Times New Roman" w:hAnsi="Times New Roman"/>
          <w:b/>
          <w:sz w:val="44"/>
          <w:szCs w:val="44"/>
        </w:rPr>
      </w:r>
    </w:p>
    <w:p>
      <w:pPr>
        <w:pStyle w:val="800"/>
        <w:jc w:val="center"/>
        <w:spacing w:before="0" w:after="0" w:line="276" w:lineRule="auto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на товарных рынках </w:t>
      </w:r>
      <w:r>
        <w:rPr>
          <w:rFonts w:ascii="Times New Roman" w:hAnsi="Times New Roman"/>
          <w:b/>
          <w:sz w:val="44"/>
          <w:szCs w:val="44"/>
        </w:rPr>
      </w:r>
      <w:r>
        <w:rPr>
          <w:rFonts w:ascii="Times New Roman" w:hAnsi="Times New Roman"/>
          <w:b/>
          <w:sz w:val="44"/>
          <w:szCs w:val="44"/>
        </w:rPr>
      </w:r>
    </w:p>
    <w:p>
      <w:pPr>
        <w:pStyle w:val="800"/>
        <w:jc w:val="center"/>
        <w:spacing w:before="0" w:after="0" w:line="276" w:lineRule="auto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муниципального образования город Краснодар</w:t>
      </w:r>
      <w:r>
        <w:rPr>
          <w:rFonts w:ascii="Times New Roman" w:hAnsi="Times New Roman"/>
          <w:b/>
          <w:sz w:val="44"/>
          <w:szCs w:val="44"/>
        </w:rPr>
      </w:r>
      <w:r>
        <w:rPr>
          <w:rFonts w:ascii="Times New Roman" w:hAnsi="Times New Roman"/>
          <w:b/>
          <w:sz w:val="44"/>
          <w:szCs w:val="44"/>
        </w:rPr>
      </w:r>
    </w:p>
    <w:p>
      <w:pPr>
        <w:pStyle w:val="800"/>
        <w:jc w:val="center"/>
        <w:spacing w:before="0" w:after="0" w:line="276" w:lineRule="auto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ascii="Times New Roman" w:hAnsi="Times New Roman"/>
          <w:b/>
          <w:sz w:val="44"/>
          <w:szCs w:val="44"/>
        </w:rPr>
        <w:t xml:space="preserve">в 2025 году»</w:t>
      </w:r>
      <w:r>
        <w:rPr>
          <w:rFonts w:ascii="Times New Roman" w:hAnsi="Times New Roman"/>
          <w:b/>
          <w:sz w:val="44"/>
          <w:szCs w:val="44"/>
        </w:rPr>
      </w:r>
      <w:r>
        <w:rPr>
          <w:rFonts w:ascii="Times New Roman" w:hAnsi="Times New Roman"/>
          <w:b/>
          <w:sz w:val="44"/>
          <w:szCs w:val="44"/>
        </w:rPr>
      </w:r>
    </w:p>
    <w:p>
      <w:pPr>
        <w:pStyle w:val="800"/>
        <w:contextualSpacing/>
        <w:jc w:val="both"/>
        <w:spacing w:before="0" w:after="0" w:line="276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00"/>
        <w:contextualSpacing/>
        <w:jc w:val="both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0"/>
        <w:contextualSpacing/>
        <w:jc w:val="both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0"/>
        <w:contextualSpacing/>
        <w:jc w:val="both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0"/>
        <w:contextualSpacing/>
        <w:jc w:val="both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0"/>
        <w:contextualSpacing/>
        <w:jc w:val="both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0"/>
        <w:contextualSpacing/>
        <w:jc w:val="both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0"/>
        <w:contextualSpacing/>
        <w:jc w:val="both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0"/>
        <w:contextualSpacing/>
        <w:jc w:val="both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contextualSpacing/>
        <w:jc w:val="both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contextualSpacing/>
        <w:jc w:val="both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0"/>
        <w:contextualSpacing/>
        <w:jc w:val="both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0"/>
        <w:contextualSpacing/>
        <w:ind w:left="4962"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РАССМОТРЕН и УТВЕРЖДЁН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0"/>
        <w:contextualSpacing/>
        <w:ind w:left="4962"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протоколом заседания рабочей группы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0"/>
        <w:contextualSpacing/>
        <w:ind w:left="4962"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по вопросам реализации положений стандарта развития конкуренции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0"/>
        <w:contextualSpacing/>
        <w:ind w:left="4962"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муниципальном образовании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0"/>
        <w:contextualSpacing/>
        <w:ind w:left="4962"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город Краснодар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00"/>
        <w:contextualSpacing/>
        <w:ind w:left="4962"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от 27.01.2026 № 1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contextualSpacing/>
        <w:jc w:val="center"/>
        <w:spacing w:before="0" w:after="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contextualSpacing/>
        <w:jc w:val="center"/>
        <w:spacing w:before="0" w:after="0" w:line="276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800"/>
        <w:contextualSpacing/>
        <w:jc w:val="center"/>
        <w:spacing w:before="0" w:after="0" w:line="276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Содержание: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800"/>
        <w:contextualSpacing/>
        <w:jc w:val="center"/>
        <w:spacing w:before="0"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9923" w:type="dxa"/>
        <w:tblInd w:w="-28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82"/>
        <w:gridCol w:w="540"/>
      </w:tblGrid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2" w:type="dxa"/>
            <w:textDirection w:val="lrTb"/>
            <w:noWrap w:val="false"/>
          </w:tcPr>
          <w:p>
            <w:pPr>
              <w:pStyle w:val="800"/>
              <w:ind w:right="-57"/>
              <w:jc w:val="both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Введение.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ind w:right="-57"/>
              <w:jc w:val="right"/>
              <w:spacing w:before="0" w:after="0"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2" w:type="dxa"/>
            <w:textDirection w:val="lrTb"/>
            <w:noWrap w:val="false"/>
          </w:tcPr>
          <w:p>
            <w:pPr>
              <w:pStyle w:val="800"/>
              <w:ind w:right="-57"/>
              <w:jc w:val="both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1. Результаты ежегодного мониторинга состояния и развития конкуренции на товарных рынках муниципального образования город Краснодар.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ind w:right="-57"/>
              <w:jc w:val="right"/>
              <w:spacing w:before="0" w:after="0"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2" w:type="dxa"/>
            <w:textDirection w:val="lrTb"/>
            <w:noWrap w:val="false"/>
          </w:tcPr>
          <w:p>
            <w:pPr>
              <w:pStyle w:val="800"/>
              <w:contextualSpacing/>
              <w:ind w:right="-57"/>
              <w:jc w:val="both"/>
              <w:spacing w:before="0" w:after="0" w:line="276" w:lineRule="auto"/>
              <w:tabs>
                <w:tab w:val="left" w:pos="0" w:leader="none"/>
                <w:tab w:val="clear" w:pos="708" w:leader="none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1.1. Мониторинг текущей ситуации на товарных рынках муниципального образования город Краснодар.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ind w:right="-57"/>
              <w:jc w:val="right"/>
              <w:spacing w:before="0" w:after="0"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2" w:type="dxa"/>
            <w:textDirection w:val="lrTb"/>
            <w:noWrap w:val="false"/>
          </w:tcPr>
          <w:p>
            <w:pPr>
              <w:pStyle w:val="800"/>
              <w:contextualSpacing/>
              <w:ind w:right="-57"/>
              <w:jc w:val="both"/>
              <w:spacing w:before="0" w:after="0" w:line="276" w:lineRule="auto"/>
              <w:tabs>
                <w:tab w:val="clear" w:pos="708" w:leader="none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1.2. Мониторинг удовлетворенности потребителей качеством товаров, работ, услуг на товарных рынках муниципального образования и состоянием ценовой конкуренции.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ind w:right="-57"/>
              <w:jc w:val="right"/>
              <w:spacing w:before="0" w:after="0"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2" w:type="dxa"/>
            <w:textDirection w:val="lrTb"/>
            <w:noWrap w:val="false"/>
          </w:tcPr>
          <w:p>
            <w:pPr>
              <w:pStyle w:val="800"/>
              <w:ind w:right="-57"/>
              <w:jc w:val="both"/>
              <w:keepLines/>
              <w:spacing w:before="0" w:after="0" w:line="276" w:lineRule="auto"/>
              <w:tabs>
                <w:tab w:val="left" w:pos="486" w:leader="none"/>
                <w:tab w:val="clear" w:pos="708" w:leader="none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1.3. Мониторинг удовлетворенности субъектов предпринимательской деятельности и потребителей товаров, работ, услуг качеством официальной информации о состоянии конкуренции на товарных рынках муниципального образования город Краснодар.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ind w:right="-57"/>
              <w:jc w:val="right"/>
              <w:spacing w:before="0" w:after="0"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2" w:type="dxa"/>
            <w:textDirection w:val="lrTb"/>
            <w:noWrap w:val="false"/>
          </w:tcPr>
          <w:p>
            <w:pPr>
              <w:pStyle w:val="800"/>
              <w:contextualSpacing/>
              <w:ind w:right="-57"/>
              <w:jc w:val="both"/>
              <w:spacing w:before="0" w:after="0" w:line="276" w:lineRule="auto"/>
              <w:tabs>
                <w:tab w:val="clear" w:pos="708" w:leader="none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1.4.  Мониторинг развития передовых производственных технологий и их внедрения, а также процесса цифровизации экономики и формирования её новых рынков и сегментов.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ind w:right="-57"/>
              <w:jc w:val="right"/>
              <w:spacing w:before="0" w:after="0"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2" w:type="dxa"/>
            <w:textDirection w:val="lrTb"/>
            <w:noWrap w:val="false"/>
          </w:tcPr>
          <w:p>
            <w:pPr>
              <w:pStyle w:val="800"/>
              <w:ind w:right="-57"/>
              <w:jc w:val="both"/>
              <w:keepLines/>
              <w:spacing w:before="0" w:after="0" w:line="276" w:lineRule="auto"/>
              <w:tabs>
                <w:tab w:val="left" w:pos="486" w:leader="none"/>
                <w:tab w:val="clear" w:pos="708" w:leader="none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2. Результаты мониторинга деятельности хозяйствующих субъектов, доля участия муниципального образования город Краснодар в которых составляет 50 и более процентов.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ind w:right="-57"/>
              <w:jc w:val="right"/>
              <w:spacing w:before="0" w:after="0"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2" w:type="dxa"/>
            <w:textDirection w:val="lrTb"/>
            <w:noWrap w:val="false"/>
          </w:tcPr>
          <w:p>
            <w:pPr>
              <w:pStyle w:val="800"/>
              <w:ind w:right="-57"/>
              <w:jc w:val="both"/>
              <w:keepLines/>
              <w:spacing w:before="0" w:after="0" w:line="276" w:lineRule="auto"/>
              <w:tabs>
                <w:tab w:val="left" w:pos="486" w:leader="none"/>
                <w:tab w:val="clear" w:pos="708" w:leader="none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3. Создание и реализация механизмов общественного контроля за деятельностью субъектов естественных монополий.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ind w:right="-57"/>
              <w:jc w:val="right"/>
              <w:spacing w:before="0" w:after="0"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2" w:type="dxa"/>
            <w:textDirection w:val="lrTb"/>
            <w:noWrap w:val="false"/>
          </w:tcPr>
          <w:p>
            <w:pPr>
              <w:pStyle w:val="800"/>
              <w:ind w:right="-57"/>
              <w:jc w:val="both"/>
              <w:keepLines/>
              <w:spacing w:before="0" w:after="0" w:line="276" w:lineRule="auto"/>
              <w:tabs>
                <w:tab w:val="left" w:pos="486" w:leader="none"/>
                <w:tab w:val="clear" w:pos="708" w:leader="none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4. Административные барьеры, препятствующие развитию малого и среднего предпринимательства.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ind w:right="-57"/>
              <w:jc w:val="right"/>
              <w:spacing w:before="0" w:after="0"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2" w:type="dxa"/>
            <w:textDirection w:val="lrTb"/>
            <w:noWrap w:val="false"/>
          </w:tcPr>
          <w:p>
            <w:pPr>
              <w:pStyle w:val="800"/>
              <w:ind w:right="-57"/>
              <w:jc w:val="both"/>
              <w:keepLines/>
              <w:spacing w:before="0" w:after="0" w:line="276" w:lineRule="auto"/>
              <w:tabs>
                <w:tab w:val="left" w:pos="486" w:leader="none"/>
                <w:tab w:val="clear" w:pos="708" w:leader="none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5. Результаты реализации мероприятий «дорожной карты» по содействию развитию конкуренции муниципального образования город Краснодар.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ind w:right="-57"/>
              <w:jc w:val="right"/>
              <w:spacing w:before="0" w:after="0"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2" w:type="dxa"/>
            <w:textDirection w:val="lrTb"/>
            <w:noWrap w:val="false"/>
          </w:tcPr>
          <w:p>
            <w:pPr>
              <w:pStyle w:val="800"/>
              <w:ind w:right="-57"/>
              <w:jc w:val="both"/>
              <w:keepLines/>
              <w:spacing w:before="0" w:after="0" w:line="276" w:lineRule="auto"/>
              <w:tabs>
                <w:tab w:val="left" w:pos="486" w:leader="none"/>
                <w:tab w:val="clear" w:pos="708" w:leader="none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6. Сведения о лучших региональных практиках содействия развитию конкуренции, внедрённых в МО город Краснодар в 2025 году.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ind w:right="-57"/>
              <w:jc w:val="right"/>
              <w:spacing w:before="0" w:after="0"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2" w:type="dxa"/>
            <w:textDirection w:val="lrTb"/>
            <w:noWrap w:val="false"/>
          </w:tcPr>
          <w:p>
            <w:pPr>
              <w:pStyle w:val="800"/>
              <w:ind w:right="-57"/>
              <w:jc w:val="both"/>
              <w:keepNext/>
              <w:spacing w:before="0" w:after="0" w:line="276" w:lineRule="auto"/>
              <w:tabs>
                <w:tab w:val="left" w:pos="567" w:leader="none"/>
                <w:tab w:val="clear" w:pos="708" w:leader="none"/>
                <w:tab w:val="left" w:pos="993" w:leader="none"/>
                <w:tab w:val="left" w:pos="1276" w:leader="none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Заключение.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ind w:right="-57"/>
              <w:jc w:val="right"/>
              <w:spacing w:before="0" w:after="0"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53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2" w:type="dxa"/>
            <w:textDirection w:val="lrTb"/>
            <w:noWrap w:val="false"/>
          </w:tcPr>
          <w:p>
            <w:pPr>
              <w:pStyle w:val="800"/>
              <w:ind w:right="-57"/>
              <w:jc w:val="both"/>
              <w:keepNext/>
              <w:spacing w:before="0" w:after="0" w:line="276" w:lineRule="auto"/>
              <w:tabs>
                <w:tab w:val="left" w:pos="567" w:leader="none"/>
                <w:tab w:val="clear" w:pos="708" w:leader="none"/>
                <w:tab w:val="left" w:pos="993" w:leader="none"/>
                <w:tab w:val="left" w:pos="1276" w:leader="none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Приложения №№ 1 – 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ind w:right="-57"/>
              <w:jc w:val="right"/>
              <w:spacing w:before="0" w:after="0"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</w:tr>
    </w:tbl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Введение.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В последние годы муниципальное образование город Краснодар столкнулось с целым рядом серьезных внешних вызовов: пан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демия коронавируса, беспрецедентное санкционное давление, связанное с проведением специальной военной операции, и, как следствие, перестройка всей экономики города. Тем не менее, город продолжил развитие.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силу своего геополитического, природно-климатического и экономического потенциала гор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од Краснодар занимает особое место среди муниципальных образований Краснодарского края и является одним из наиболее привлекательных городов в Южном федеральном округе. Столица Кубани развивается хорошими темпами и лидирует в регионе по многим показателям.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Решением гор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одской Думы Краснодара от 19.11.2020 № 4 п. 10 утверждена «Стратегия социально-экономического развития муниципального образования город Краснодар до 2030 года», постановлением администрации муниципального образования город Краснодар от 11.03.2021 № 932 утв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ерждён План мероприятий по её реализации. Документ определяет приоритетные направления развития краевого центра, позволяющие добиться устойчивого экономического роста и конкурентоспособности всех сфер экономики, повышения качества и уровня жизни населения.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целях создания условий для развития конкуренции между хозяйствующими субъектами в отраслях экономики, содействия формированию прозрачной системы работы органо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власти в интересах потребителей товаров, работ и услуг, в том числе субъектов предпринимательской деятельности и граждан, с 2015 года на территории муниципального образования город Краснодар проводится работа по внедрению Стандарта развития конкуренции (</w:t>
      </w:r>
      <w:r>
        <w:rPr>
          <w:rFonts w:ascii="Times New Roman" w:hAnsi="Times New Roman" w:eastAsia="Times New Roman"/>
          <w:color w:val="000000"/>
          <w:sz w:val="28"/>
          <w:szCs w:val="20"/>
          <w:lang w:eastAsia="ru-RU"/>
        </w:rPr>
        <w:t xml:space="preserve">распоряжение Правительства Российской Федераци</w:t>
      </w:r>
      <w:r>
        <w:rPr>
          <w:rFonts w:ascii="Times New Roman" w:hAnsi="Times New Roman" w:eastAsia="Times New Roman"/>
          <w:color w:val="000000"/>
          <w:sz w:val="28"/>
          <w:szCs w:val="20"/>
          <w:lang w:eastAsia="ru-RU"/>
        </w:rPr>
        <w:t xml:space="preserve">и от 05.09.2015 № 1738-р «Стандарт развития конкуренции в субъектах Российской Федерации», с 2019 года – распоряжение Правительства Российской Федерации от 17.04.2019 № 768-р «Об утверждении стандарта развития конкуренции в субъектах Российской Федерации»)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По итогам 2024 года муниципальное образование город Краснодар в рейтинге муниципальных образований Краснодарского края по содействию развитию конкуренции заняло 2 место.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</w:r>
    </w:p>
    <w:p>
      <w:pPr>
        <w:pStyle w:val="800"/>
        <w:contextualSpacing/>
        <w:jc w:val="both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Раздел 1. Результаты ежегодного мониторинга состояния и развития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конкуренции на товарных рынках муниципального образования город Краснодар.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1.1. Мониторинг текущей ситуации на товарных рынках муниципального образования город Краснодар.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709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муниципальном образо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вании город Краснодар на основе мониторинга статистической информации за ряд лет, данных проведённых опросов хозяйствующих субъектов, осуществляющих деятельность на территории муниципального образования город Краснодар, о состоянии и развитии конкуренции 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 товарных рынках города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Краснодара и потребителей товаров и услуг краевого центра, а также на основе анализа имеющихся в определенных отраслях экономики проблем и потенциала развития для содействия развитию конкуренции определены 42 товарных рынка, в том числе 11 индивидуальных.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2025 году в ежегодном анкетировании приняли участие 33300 потребителей товаров и услуг и 16671 представитель бизнес-сообщества.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0"/>
        <w:contextualSpacing/>
        <w:ind w:firstLine="709"/>
        <w:jc w:val="center"/>
        <w:spacing w:before="0" w:after="0" w:line="276" w:lineRule="auto"/>
        <w:rPr>
          <w:rFonts w:ascii="Times New Roman" w:hAnsi="Times New Roman" w:eastAsia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/>
          <w:color w:val="000000"/>
          <w:sz w:val="28"/>
          <w:szCs w:val="28"/>
          <w:lang w:eastAsia="ru-RU"/>
        </w:rPr>
        <w:t xml:space="preserve">Сфера образования</w:t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  <w:lang w:eastAsia="ru-RU"/>
        </w:rPr>
      </w:r>
    </w:p>
    <w:p>
      <w:pPr>
        <w:pStyle w:val="800"/>
        <w:contextualSpacing/>
        <w:ind w:firstLine="709"/>
        <w:spacing w:before="0" w:after="0" w:line="276" w:lineRule="auto"/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spacing w:before="0" w:after="0" w:line="276" w:lineRule="auto"/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Рынок услуг дошкольного образования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</w:p>
    <w:p>
      <w:pPr>
        <w:pStyle w:val="800"/>
        <w:ind w:firstLine="720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С целью удовлетворения населения услугами дошкольного образования на территории муниципального образования по состоянию на 01.01.2026 функционировала 241 муниципальная дошкольная образовательная организация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и 47 частных образовательных организаций.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00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 детски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х садах города воспитываются порядка 64,6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тысячи детей дошкольного возраста, в том числе численность детей в частных организациях составляет более 3,9 тысячи человек.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00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00"/>
          <w:lang w:eastAsia="ru-RU"/>
        </w:rPr>
      </w:r>
    </w:p>
    <w:p>
      <w:pPr>
        <w:contextualSpacing/>
        <w:ind w:firstLine="708"/>
        <w:jc w:val="both"/>
        <w:spacing w:before="0" w:after="0" w:line="276" w:lineRule="auto"/>
        <w:rPr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Количество мест в дошкольных организациях постоянно растёт.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 2025 году начали своё функционирование 9 детских дошкольных организаций на 2590 мест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yellow"/>
        </w:rPr>
      </w:r>
    </w:p>
    <w:p>
      <w:pPr>
        <w:pStyle w:val="800"/>
        <w:contextualSpacing/>
        <w:ind w:firstLine="708"/>
        <w:spacing w:before="0" w:after="0" w:line="276" w:lineRule="auto"/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Рынок услуг общего образования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В системе общего образования города Краснодара в 2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025 году функционировали 105 общеобразовательных организаций,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а также 10 негосударственных общеобразовательных организаций и 8 государственных специальных (коррекционных) образовательных организаций для обучающихся, воспитанников с отклонениями в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развитии.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9"/>
        <w:jc w:val="both"/>
        <w:spacing w:before="0" w:after="0" w:line="276" w:lineRule="auto"/>
        <w:rPr>
          <w:highlight w:val="white"/>
          <w:shd w:val="clear" w:color="auto" w:fill="ffff00"/>
        </w:rPr>
      </w:pP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Количество обучающихся в общеобразовательных организациях муниципального образования город Краснодар в 2025–2026 учебных годах достигло 205,4 тысячи учащихся. Численность обучающихся в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частных образовательных организациях составляет 3643 человека.</w:t>
      </w:r>
      <w:r>
        <w:rPr>
          <w:highlight w:val="white"/>
          <w:shd w:val="clear" w:color="auto" w:fill="ffff00"/>
        </w:rPr>
      </w:r>
      <w:r>
        <w:rPr>
          <w:highlight w:val="white"/>
          <w:shd w:val="clear" w:color="auto" w:fill="ffff00"/>
        </w:rPr>
      </w:r>
    </w:p>
    <w:p>
      <w:pPr>
        <w:pStyle w:val="800"/>
        <w:ind w:firstLine="709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Для решения проблемы обе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спеченности местами в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 школах в городе ведётся активная работа по проектированию и строительству новых школ: только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в 2025 году в новых школах введено 7725 мест, а также открыты 2 учебных блока на территориях двух СОШ общей мощностью 700 мест в одну смену.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Рынок услуг общего образования характеризуется доминированием муниципальных образовательных организац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ий. Развитие негосударственной сети образовательных организаций сдерживается высоким размером родительской платы.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8"/>
        <w:spacing w:before="0" w:after="0" w:line="276" w:lineRule="auto"/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8"/>
        <w:spacing w:before="0" w:after="0" w:line="276" w:lineRule="auto"/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Рынок услуг детского отдыха и оздоровления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Рынок услуг детского отдыха и оздоровления муниципального образования город Краснодар представлен подведомственными учреждениями: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Комплексный спортивно-оздоровительный центр «Ольгинка» (Туапсинский район, посёлок Ольгинка) на 80 мест в один поток;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Детский оздоровительный центр «Краснодарская смена» (город-курорт Анапа) на 200 мест. 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Молодежный лагерь «Дубрава» (Северский район, ст. Убинская).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Так, в каникулярное время на Черноморском побережье состоялись 5 выездных профильных смен,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на территории лагеря «Дубрава» состоялись 4 тематические смены для 600 человек..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летний период 2025 года на базе общеобразовательных учреждений были организованы лагеря дневного пребывания и лагеря труда и отдыха, которые посетили более 15,2 тысячи детей и подростков.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Краснодаре также функционирует ряд лечебно-профилактических учреждений, среди которых – уникальное медицинское учреждение ОАО «Центр восстановительной медицины и реабилитации «Краснодарская бальнеолечебница», а также 4 санатория –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ГБУЗ детский санаторий для больных и инфицированных туберкулезом «Василек», ГБУЗ «Детский противотуберкулезный санаторий «Ромашка», ГБУЗ «Детский санаторий Тополек», ГБУЗ «Краевой детский центр медицинский реабилитации МЗКК».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ind w:firstLine="708"/>
        <w:spacing w:before="0" w:after="0" w:line="276" w:lineRule="auto"/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Рынок услуг дополнительного образования детей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 2025 году в системе дополнит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ельного образования и воспитательной работы в муниципальном образовании город Краснодар осуществляли деятельность 16 детских многопрофильных организаций (центров и домов творчества); 20 организаций спортивной направленности; 16 детских школ искусств; 2 худ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ожественные школы; 11 организаций негосударственного сектора, индивидуальных предпринимателей, реализующих дополнительные общеобразовательные программы для детей; 25 организаций государственной формы собственности, в том числе 17 спортивной направленности.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ab/>
        <w:t xml:space="preserve">Численность детей и молодёжи в во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зр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асте от 5 до 18 лет, получающих услуги по дополнительному образованию в учреждениях различной направленности, ежегодно растёт. В организациях дополнительного образования,  кружках, клубах и секциях занимаются 175,9 тысячи детей, или 85,5% детей Краснодара.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Участие в опросе приняли 1293 представителя организаций сферы образования. Большая часть хозяйствующих субъектов из числа опрошенных (63%), осуществляющих деятельность на рынках образования, считают, что ввиду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недостаточного развития частного сектора на рынке образовательных услуг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конкуренция в сфере их деятельности «умеренная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», «слабая» либо отсутствует, для сохранения рыночной позиции их бизнеса периодически может потребоваться реализация мер по повышению конкурентоспособности предлагаемых услуг. 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ind w:firstLine="708"/>
        <w:jc w:val="center"/>
        <w:spacing w:before="0" w:after="0" w:line="276" w:lineRule="auto"/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Социальная сфера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left="709"/>
        <w:spacing w:before="0" w:after="0" w:line="276" w:lineRule="auto"/>
        <w:shd w:val="clear" w:color="auto" w:fill="ffffff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Рынок социальных услуг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На территории муниципального образования город Краснодар осуществляют деятельность государственные учреждения социального обслуживания населения, подведомственныt министерству труда и социального развития Краснодарского края, в которых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обслуживаются пожилые граждане, инвалиды и лица БОМЖ, родители несовершеннолетних детей, дети.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 реестр поставщиков социальных услуг входят автономные некоммерческие, общественные и благотворительные организации, а также общества с ограниченно ответственностью.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Деятельность субъектов негосударственного сектора социального обслуживани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я на территории муниципального образования город Краснодар (пансионатов, частных домов) связана с социальным обслуживанием граждан пожилого возраста и инвалидов на платной основе: патронажные услуги, реабилитационные услуги, лечебно-оздоровительный отдых.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 ростом численности жителей, в том числе пенсионного возраста, расширением круга потребностей людей возникает необходимость в расширении и модернизации социальной инфраструктуры.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Участие в опросе приняли 1430 представителей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рынка социальной сферы. Больная часть из них (61%) считают, что конкуренция в сфере их деятельности «слабая» и «умеренная», либо отсутствует.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ind w:firstLine="708"/>
        <w:jc w:val="center"/>
        <w:spacing w:before="0" w:after="0" w:line="276" w:lineRule="auto"/>
        <w:rPr>
          <w:rFonts w:ascii="Times New Roman" w:hAnsi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/>
          <w:b/>
          <w:i/>
          <w:sz w:val="28"/>
          <w:szCs w:val="28"/>
          <w:highlight w:val="white"/>
          <w:lang w:eastAsia="ru-RU"/>
        </w:rPr>
        <w:t xml:space="preserve">Сфера строительства</w:t>
      </w:r>
      <w:r>
        <w:rPr>
          <w:rFonts w:ascii="Times New Roman" w:hAnsi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/>
          <w:b/>
          <w:i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Рынок жилищного строительства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Индикатором развития строительного комплекса в Краснодаре является общая ситуация на рынке жилищного строительства. </w:t>
      </w:r>
      <w:r>
        <w:rPr>
          <w:rFonts w:ascii="Times New Roman" w:hAnsi="Times New Roman"/>
          <w:sz w:val="28"/>
          <w:szCs w:val="28"/>
          <w:highlight w:val="white"/>
        </w:rPr>
        <w:t xml:space="preserve">Столица Кубани прочно занимает передовые позиции в Российской Федерации по темпам жилищного стр</w:t>
      </w:r>
      <w:r>
        <w:rPr>
          <w:rFonts w:ascii="Times New Roman" w:hAnsi="Times New Roman"/>
          <w:sz w:val="28"/>
          <w:szCs w:val="28"/>
          <w:highlight w:val="white"/>
        </w:rPr>
        <w:t xml:space="preserve">оительства.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Calibri" w:cs="Times New Roman"/>
          <w:color w:val="auto"/>
          <w:sz w:val="28"/>
          <w:szCs w:val="28"/>
          <w:highlight w:val="white"/>
          <w:shd w:val="clear" w:color="auto" w:fill="ffff00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ffffff" w:themeColor="background1" w:fill="ffffff" w:themeFill="background1"/>
          <w:lang w:val="ru-RU" w:eastAsia="en-US" w:bidi="ar-SA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  <w:shd w:val="clear" w:color="ffffff" w:themeColor="background1" w:fill="ffffff" w:themeFill="background1"/>
          <w:lang w:val="ru-RU" w:eastAsia="en-US" w:bidi="ar-SA"/>
        </w:rPr>
        <w:t xml:space="preserve">В 2025 году (за 11 месяцев) введено 2232,7 тысячи квадратных ме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  <w:shd w:val="clear" w:color="ffffff" w:themeColor="background1" w:fill="ffffff" w:themeFill="background1"/>
          <w:lang w:val="ru-RU" w:eastAsia="en-US" w:bidi="ar-SA"/>
        </w:rPr>
        <w:t xml:space="preserve">тров 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  <w:shd w:val="clear" w:color="auto" w:fill="ffff00"/>
          <w:lang w:val="ru-RU" w:eastAsia="en-US" w:bidi="ar-SA"/>
        </w:rPr>
        <w:t xml:space="preserve">жилых домов.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  <w:shd w:val="clear" w:color="auto" w:fill="ffff00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  <w:shd w:val="clear" w:color="auto" w:fill="ffff00"/>
        </w:rPr>
      </w:r>
    </w:p>
    <w:p>
      <w:pPr>
        <w:pStyle w:val="800"/>
        <w:ind w:firstLine="708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В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 строит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ельной отрасли уровень конкуренции довольно высокий. 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В этой сфере осуществляют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 деятельность 53 крупных и средних строительных организации, а также субъекты малого предпринимательства. 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Объём работ, выполненных по виду деятельности «строительство» в оценке 2025 году по кругу крупных и средних предприятий составит порядка 60,0 миллиардов рублей.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8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Ли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дерами ввода многоквартирных домов в эксплуатацию среди застройщиков муниципального образования город Краснодар являются: ООО «ЮгСтройИнвест-Кубань», ГК «Догма», ГК «Точно», ГК «ВКБ», СК «Семья»,  ООО СЗ «ИНСИТИ», 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ГК «ССК».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Рынок строительства объектов капитального строительства, за исключением жилищного и дорожного строительства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 территории м</w:t>
      </w:r>
      <w:r>
        <w:rPr>
          <w:rFonts w:ascii="Times New Roman" w:hAnsi="Times New Roman"/>
          <w:sz w:val="28"/>
          <w:szCs w:val="28"/>
          <w:highlight w:val="white"/>
        </w:rPr>
        <w:t xml:space="preserve">униципального образования город Краснодар актуальна комплексная застройка территории со своей инфраструктурой, объектами соцкультбыта, детскими и спортивными площадками, благоустроенной внутридомовой территорией, а также участковыми пунктами милиции и каби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нетами врачей общей практики.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nos" w:hAnsi="Tinos" w:eastAsia="Calibri"/>
          <w:sz w:val="28"/>
          <w:szCs w:val="28"/>
          <w:highlight w:val="white"/>
          <w:shd w:val="clear" w:color="auto" w:fill="ffff00"/>
        </w:rPr>
      </w:pPr>
      <w:r>
        <w:rPr>
          <w:rFonts w:ascii="Tinos" w:hAnsi="Tinos" w:eastAsia="Calibri"/>
          <w:sz w:val="28"/>
          <w:szCs w:val="28"/>
          <w:highlight w:val="white"/>
          <w:shd w:val="clear" w:color="auto" w:fill="auto"/>
        </w:rPr>
        <w:t xml:space="preserve">В 2025 году</w:t>
      </w:r>
      <w:r>
        <w:rPr>
          <w:rFonts w:ascii="Tinos" w:hAnsi="Tinos" w:eastAsia="Calibri"/>
          <w:sz w:val="28"/>
          <w:szCs w:val="28"/>
          <w:highlight w:val="white"/>
          <w:shd w:val="clear" w:color="auto" w:fill="auto"/>
        </w:rPr>
        <w:t xml:space="preserve"> введены в эксплуатацию 90 коммерческих зданий общей площадью 157,9 тыс. кв. м, </w:t>
      </w:r>
      <w:r>
        <w:rPr>
          <w:rFonts w:ascii="Tinos" w:hAnsi="Tinos" w:eastAsia="Calibri"/>
          <w:sz w:val="28"/>
          <w:szCs w:val="28"/>
          <w:highlight w:val="white"/>
          <w:shd w:val="clear" w:color="auto" w:fill="auto"/>
        </w:rPr>
        <w:t xml:space="preserve">14 социальных объектов – 2 общеобразовательные школы на 3675 мест и 12 детских дошкольных учреждений на 3885 мест. </w:t>
      </w:r>
      <w:r>
        <w:rPr>
          <w:rFonts w:ascii="Tinos" w:hAnsi="Tinos" w:eastAsia="Calibri"/>
          <w:sz w:val="28"/>
          <w:szCs w:val="28"/>
          <w:highlight w:val="white"/>
          <w:shd w:val="clear" w:color="auto" w:fill="ffff00"/>
        </w:rPr>
      </w:r>
      <w:r>
        <w:rPr>
          <w:rFonts w:ascii="Tinos" w:hAnsi="Tinos" w:eastAsia="Calibri"/>
          <w:sz w:val="28"/>
          <w:szCs w:val="28"/>
          <w:highlight w:val="white"/>
          <w:shd w:val="clear" w:color="auto" w:fill="ffff00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r>
    </w:p>
    <w:p>
      <w:pPr>
        <w:pStyle w:val="800"/>
        <w:ind w:firstLine="720"/>
        <w:jc w:val="both"/>
        <w:spacing w:before="0" w:after="0" w:line="276" w:lineRule="auto"/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Рынок производства бетона, включая инновационные строительные материалы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Производство бетона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полностью зависит от динамики развития строительной отрасли. Бетон является одним из наиболее востребованных строитель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ных материалов.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highlight w:val="white"/>
          <w:shd w:val="clear" w:color="auto" w:fill="ffff00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На рынке производства бетона, включая инновационные строительные материалы, на территории муниципального образования город Краснодар осуществляют деятельн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ость 12 хозяйствующих субъектов,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 том числе ОАО «ОЗЖБИ», АО Строительная фирма «ССМУ-5», ООО «КубаньБетон», ООО «ГОСТ БЕТОН».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В 2025 году производство товарного бетона составило 180,0 тыс. куб. м.</w:t>
      </w:r>
      <w:r>
        <w:rPr>
          <w:highlight w:val="white"/>
          <w:shd w:val="clear" w:color="auto" w:fill="ffff00"/>
        </w:rPr>
      </w:r>
      <w:r>
        <w:rPr>
          <w:highlight w:val="white"/>
          <w:shd w:val="clear" w:color="auto" w:fill="ffff00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Входн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ые барьеры для входа на рынок бетона сравнительно низкие, что даёт возможность запуска производства с минимальными инвестиционными вложениями.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Наиболее существенные для расширения действующего бизнеса препятствия респонденты видят в высоких начальных издержках и нехва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тке финансовых средств.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ind w:firstLine="709"/>
        <w:spacing w:before="0" w:after="0" w:line="276" w:lineRule="auto"/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Рынок производства кирпича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На рынке производст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ва кирпича муниципального образования город Краснодар осуществляют деятельность ООО «Фабрика керамических изделий» и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 ООО «АМД ГРУП».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Кроме того, в едином реестре субъектов малого и среднего предпринимательства зарегистрировано 13 микропредприятий по виду деятельности «производство кирпича, черепицы и прочих строительных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изделий из обожженной глины».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В 2025 году объём производства неогнеупорного керамического строительного кирпича по организациям, не относящимся к субъектам малого предпринимательства, составил 10,1 миллиона условных кирпичей.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 проблемам данного рынк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 относится растущий спрос на альтернативные строительные материалы, новые требования к срокам возведения зданий и удешевление процесса строительства. Существенное влияние на объём произв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одства оказывает сезонный фактор. Сезонный спрос на кирпич связан и с самим потреблением, как правило, индивидуальными покупателями.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Участие в опросе приняли 1539 представителей строительных организаций города. Более 67% реализуемой продукции приходится на локальный рынок и рынок Краснодарского края.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Третья част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ь хозяйствующих субъектов из числа опрошен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ных, осуществляющих деятельность на строительном рынке, характеризуют конкуренцию в этой сфере как «высокую» и «очень высокую»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center"/>
        <w:spacing w:before="0" w:after="0" w:line="276" w:lineRule="auto"/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</w:p>
    <w:p>
      <w:pPr>
        <w:pStyle w:val="800"/>
        <w:ind w:firstLine="709"/>
        <w:jc w:val="center"/>
        <w:spacing w:before="0" w:after="0" w:line="276" w:lineRule="auto"/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Сфера ЖКХ и благоустройства</w:t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</w:p>
    <w:p>
      <w:pPr>
        <w:pStyle w:val="800"/>
        <w:ind w:firstLine="709"/>
        <w:spacing w:before="0" w:after="0" w:line="276" w:lineRule="auto"/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ind w:firstLine="709"/>
        <w:spacing w:before="0" w:after="0" w:line="276" w:lineRule="auto"/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Рынок теплоснабжения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На территории муниципального образования город Краснодар в сфере теплоснабжения осуществляют деятельность 57 организаций частной формы собственности.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Согласно схемы теплоснабжения муниципального 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бразования город Краснодар до 2040 года теплоснабжение жилых массивов и объектов социальной сферы муниципального образования город Краснодар осуществляется от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278 муниципальных и частных котельных, 3 ТЭЦ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Общий объём отпуска тепловой энергии в 2025 году составил 3,9 млн Гкал.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Объём производства пара и горячей воды крупными и средними организациями города в 2025 году составил 4,8 млн Гкал.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</w:rPr>
      </w:r>
    </w:p>
    <w:p>
      <w:pPr>
        <w:contextualSpacing/>
        <w:ind w:firstLine="709"/>
        <w:jc w:val="both"/>
        <w:spacing w:before="0" w:after="0" w:line="276" w:lineRule="auto"/>
        <w:rPr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Фактические потери при производстве и транспортировке тепловой энергии составляют 11%.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ind w:firstLine="709"/>
        <w:spacing w:before="0" w:after="0" w:line="276" w:lineRule="auto"/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Рынок водоснабжения и водоотведения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сфере водоснабжения и водоотведения на территории муниципального образования город Краснодар осуществляют деятельность 34 организации в сфере водоснабжения и 12 организаций – в сфере водоотведения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Кроме того, в едином реестре субъектов МСП зарегистрирован 51 индивидуальный предприниматель по ОКВЭД «Сбор, очистка и распределение воды» и «Сбор и обработка сточных вод».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highlight w:val="white"/>
          <w:shd w:val="clear" w:color="auto" w:fill="ffff00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Самыми крупными гарантирующими поставщиками услуг в д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анной сфере являются ООО «Краснодар Водоканал», ОО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 «Калининский водоканал» и МУП ВКХ «Водоканал». Обеспеченность централизованными системами водоснабжен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ия составляет 100%.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б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щ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й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б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ъ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ё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м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л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е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з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г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т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у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с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к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р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е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с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у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р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с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(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д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с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б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ж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е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е), реализуемых в городе, в 2025 году составил 70,3 млн кубометра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Уровень потерь воды в водопроводных сетях – в среднем 30%.</w:t>
      </w:r>
      <w:r>
        <w:rPr>
          <w:highlight w:val="white"/>
          <w:shd w:val="clear" w:color="auto" w:fill="ffff00"/>
        </w:rPr>
      </w:r>
      <w:r>
        <w:rPr>
          <w:highlight w:val="white"/>
          <w:shd w:val="clear" w:color="auto" w:fill="ffff00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связи с большим объёмом вводимых в эксплуатацию жилых площадей, развити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ем новых жилых районов пригородных посёлков для обеспечения предоставления услуг водоснабжения и водоотведения надлежащего качества требуется строительство новых водозаборных сооружений, сетей водоснабжения и водоотведения, очистных сооружений канализации.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ab/>
        <w:t xml:space="preserve">Рынок электроэнергетики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городе Краснодаре функционирует один из четырех крупных производителе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й электроэнергии в крае – Краснодарская ТЭЦ.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Calibri" w:hAnsi="Calibri" w:eastAsia="Calibri"/>
          <w:highlight w:val="white"/>
          <w:shd w:val="clear" w:color="auto" w:fill="ffff00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Объём производства электроэнергии крупными предприятиями города в 2025 году составил 4994,6 млн кВт/ч.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 Электроснабжение потребителей краевого центра осуществляется от 44 независимых понизител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ьных подстанций, обслуживаемых подразделениями и службами Краснодарских электрических сетей ПАО «Россети Кубань». Энергоснабжение, ремонт и техническое обслуживание сетей города в основном осуществляет филиал АО «Электросети Кубани» «Краснодарэлектросеть».</w:t>
      </w:r>
      <w:r>
        <w:rPr>
          <w:rFonts w:ascii="Calibri" w:hAnsi="Calibri" w:eastAsia="Calibri"/>
          <w:highlight w:val="white"/>
          <w:shd w:val="clear" w:color="auto" w:fill="ffff00"/>
        </w:rPr>
      </w:r>
      <w:r>
        <w:rPr>
          <w:rFonts w:ascii="Calibri" w:hAnsi="Calibri" w:eastAsia="Calibri"/>
          <w:highlight w:val="white"/>
          <w:shd w:val="clear" w:color="auto" w:fill="ffff00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Объём отпуска ресурсов по электроэнергетике в 2025 году составил 8059,4 млн кВт/ч.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Рынок электроэнергии характери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зуется уникальными особенностями, которые отсутствуют у типичного товарного рынка: электроэнергию по своей природе трудно хранить, и она должна быть доступна по требованию,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поэтому предложение должно очень точно соответствовать спросу в любое время, несмотря на постоянные колебания обоих.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Рынок поставки сжиженного газа в баллонах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Функциональным назначением поставки сжиженного газа для быто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вых нужд населения является обеспечение потребителей (физических лиц) сжиженным газом для получения ими необходимых коммунальных ресурсов (горячее водоснабжение, отопление) и ведения бытового хозяйства (приготовление пищи, подсобное хозяйство), на территор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ии проживания которых отсутствует се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ть магистрального газопровода.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Уровень газификации муниципального образования город Краснодар составляет около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80%.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едином реестре субъектов малого и среднего предпринимательства на территории мун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иципального образо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вания город Краснодар в сфере оптовой торговлей сжиженными углеводородными газами зарегистрировано 7 микропредприятий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Ввиду устойчивого курса региона на расширение зоны охвата территории Краснодарского края газораспределительными сетями для подачи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природного газа в перспективные районы застройки и для перевода на природный газ существующих негазифицированных объектов, а также низким уровнем спроса на продукцию, обусловленным быстрыми темпами урбанизации и газификации территорий, незначительной ёмко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стью рынка, а также возможностью использования населением альтернативных источников теплоснабжения (электричество, дизельное топливо, дрова, уголь) отсутствует целесообразность в содействии развитию конкуренции на рынке поставок сжиженного газа в баллонах.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ab/>
        <w:tab/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Сфера благоустройства городской среды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сфере благоустройства городской среды на территории МО город Краснодар зарегистрировано 205 организаций частной формы собственности в едином реестре субъектов малого и среднего предпринимательства,</w:t>
      </w:r>
      <w:r>
        <w:rPr>
          <w:rFonts w:ascii="Times New Roman" w:hAnsi="Times New Roman"/>
          <w:sz w:val="28"/>
          <w:highlight w:val="white"/>
        </w:rPr>
        <w:t xml:space="preserve"> а также 2 – муниципальной.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рамк</w:t>
      </w:r>
      <w:r>
        <w:rPr>
          <w:rFonts w:ascii="Times New Roman" w:hAnsi="Times New Roman"/>
          <w:sz w:val="28"/>
          <w:highlight w:val="white"/>
        </w:rPr>
        <w:t xml:space="preserve">ах б</w:t>
      </w:r>
      <w:r>
        <w:rPr>
          <w:rFonts w:ascii="Times New Roman" w:hAnsi="Times New Roman"/>
          <w:sz w:val="28"/>
          <w:highlight w:val="white"/>
        </w:rPr>
        <w:t xml:space="preserve">лагоустройства дворовых территорий выполняются следующие работы: асфальтирование, озеленение, устройство ограждений, приобретение и установка детского игрового и спортивного оборудования, установка элем</w:t>
      </w:r>
      <w:r>
        <w:rPr>
          <w:rFonts w:ascii="Times New Roman" w:hAnsi="Times New Roman"/>
          <w:sz w:val="28"/>
          <w:highlight w:val="white"/>
        </w:rPr>
        <w:t xml:space="preserve">ентов благоустройства (лавочки, урны, беседки и т.п.).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В 2025 году в кубанской столице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б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л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а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г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о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у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с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т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р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о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е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н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о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20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о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б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щ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е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с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т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в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е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н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н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ы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х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т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е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р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р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и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т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о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р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и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й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, </w:t>
      </w:r>
      <w:r>
        <w:rPr>
          <w:rFonts w:ascii="Times New Roman" w:hAnsi="Times New Roman" w:eastAsia="Calibri" w:cs="Times New Roman"/>
          <w:color w:val="000000"/>
          <w:sz w:val="28"/>
          <w:szCs w:val="22"/>
          <w:highlight w:val="white"/>
          <w:shd w:val="clear" w:color="auto" w:fill="auto"/>
          <w:lang w:val="ru-RU" w:eastAsia="en-US" w:bidi="ar-SA"/>
        </w:rPr>
        <w:t xml:space="preserve">высажено более 680 тысяч </w:t>
      </w:r>
      <w:r>
        <w:rPr>
          <w:rFonts w:ascii="Times New Roman" w:hAnsi="Times New Roman" w:eastAsia="Calibri" w:cs="Times New Roman"/>
          <w:color w:val="000000"/>
          <w:sz w:val="28"/>
          <w:szCs w:val="22"/>
          <w:highlight w:val="white"/>
          <w:shd w:val="clear" w:color="auto" w:fill="auto"/>
          <w:lang w:val="ru-RU" w:eastAsia="en-US" w:bidi="ar-SA"/>
        </w:rPr>
        <w:t xml:space="preserve">з</w:t>
      </w:r>
      <w:r>
        <w:rPr>
          <w:rFonts w:ascii="Times New Roman" w:hAnsi="Times New Roman" w:eastAsia="Calibri" w:cs="Times New Roman"/>
          <w:color w:val="000000"/>
          <w:sz w:val="28"/>
          <w:szCs w:val="22"/>
          <w:highlight w:val="white"/>
          <w:shd w:val="clear" w:color="auto" w:fill="auto"/>
          <w:lang w:val="ru-RU" w:eastAsia="en-US" w:bidi="ar-SA"/>
        </w:rPr>
        <w:t xml:space="preserve">е</w:t>
      </w:r>
      <w:r>
        <w:rPr>
          <w:rFonts w:ascii="Times New Roman" w:hAnsi="Times New Roman" w:eastAsia="Calibri" w:cs="Times New Roman"/>
          <w:color w:val="000000"/>
          <w:sz w:val="28"/>
          <w:szCs w:val="22"/>
          <w:highlight w:val="white"/>
          <w:shd w:val="clear" w:color="auto" w:fill="auto"/>
          <w:lang w:val="ru-RU" w:eastAsia="en-US" w:bidi="ar-SA"/>
        </w:rPr>
        <w:t xml:space="preserve">л</w:t>
      </w:r>
      <w:r>
        <w:rPr>
          <w:rFonts w:ascii="Times New Roman" w:hAnsi="Times New Roman" w:eastAsia="Calibri" w:cs="Times New Roman"/>
          <w:color w:val="000000"/>
          <w:sz w:val="28"/>
          <w:szCs w:val="22"/>
          <w:highlight w:val="white"/>
          <w:shd w:val="clear" w:color="auto" w:fill="auto"/>
          <w:lang w:val="ru-RU" w:eastAsia="en-US" w:bidi="ar-SA"/>
        </w:rPr>
        <w:t xml:space="preserve">ёных насаждений.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Услуги в сфере наружной рекламы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Рынок наружной рекламы в муниципальном образовании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город Краснодар отличается высокой конкуренцией.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Среди ключевых согласующих и регулирующих рек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ламную отрасль организаций – МКУ «Градинформ». В Едином реестре субъектов малого и среднего предпринимательства зарегистрировано 1810 организаций частной формы собственности в сфере наружной рекламы на территории муниципального образования город Краснодар.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муниципальном образовании город Краснодар в целях сохранения внешнего архитектурного облика сложившейся застройки, художественно-эстетической организации внешнего благоустройства, упорядочения мест размещения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рекламных конструкций разработан порядок размещения рекламных кон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струкций.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Реестр разрешений на установку и эксплуатацию рекламных конструкций за 2025 год включает 97 единиц выданных разрешений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 (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за 2024 года – 68 единиц,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за 2023 год -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 128 единиц,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за 2022 год – 16 единиц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).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Основной проблемой рынка является наличие нелегальных рекламных конструкций, препятствующих развитию добросовестной конкуренции на рынке наружной рекламы.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Рынок выполнения работ по содержанию и текущему ремонту общего имущества собственников помещений в многоквартирном доме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Жилищно-коммунальное хозяйство ‒ одна из наиболее соци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ально значимых отраслей городской экономики, поскольку от слаженной работы городских служб во многом зависит качество жизни.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сфере эксплуатации жилого фонда за вознаграждение или на договорной основе в муниципальном образовании город Краснодар осуществляют деятельность 230 организаций частной формы собственности и 1 – муниципальной.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Площадь помещений, входящих в с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остав общего имущества собственников помещений в МКД, находящихся под управлением управляющих организаций всех форм собственности, составляет 53 млн кв. м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rFonts w:ascii="Times New Roman" w:hAnsi="Times New Roman" w:eastAsia="Times New Roman"/>
          <w:bCs/>
          <w:sz w:val="28"/>
          <w:szCs w:val="24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На долю управляющих компаний на протяжении ряда лет приходится наибольший удельный вес обслуживаемых многоквартирных домов. Создание к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омфортных условий проживания напрямую зависит от уровня и качества функционирования городских коммунальных служб в части</w:t>
      </w:r>
      <w:r>
        <w:rPr>
          <w:rFonts w:ascii="Times New Roman" w:hAnsi="Times New Roman" w:eastAsia="Times New Roman"/>
          <w:bCs/>
          <w:sz w:val="28"/>
          <w:szCs w:val="24"/>
          <w:highlight w:val="white"/>
          <w:lang w:eastAsia="ru-RU"/>
        </w:rPr>
        <w:t xml:space="preserve"> обеспечения функциональности систем электроснабжения; проведения уборки и санитарно-гигиенической обработки помещений и придомовых терри</w:t>
      </w:r>
      <w:r>
        <w:rPr>
          <w:rFonts w:ascii="Times New Roman" w:hAnsi="Times New Roman" w:eastAsia="Times New Roman"/>
          <w:bCs/>
          <w:sz w:val="28"/>
          <w:szCs w:val="24"/>
          <w:highlight w:val="white"/>
          <w:lang w:eastAsia="ru-RU"/>
        </w:rPr>
        <w:t xml:space="preserve">торий; вывоза мусора и отходов; обслуживания элементов благоустройства, расположенных на соответствующей территории; осуществления текущего и капитального ремонта объектов; реализации мероприятий, направленных на повышение энергоэффективности жилого фонда.</w:t>
      </w:r>
      <w:r>
        <w:rPr>
          <w:rFonts w:ascii="Times New Roman" w:hAnsi="Times New Roman" w:eastAsia="Times New Roman"/>
          <w:bCs/>
          <w:sz w:val="28"/>
          <w:szCs w:val="24"/>
          <w:highlight w:val="white"/>
        </w:rPr>
      </w:r>
      <w:r>
        <w:rPr>
          <w:rFonts w:ascii="Times New Roman" w:hAnsi="Times New Roman" w:eastAsia="Times New Roman"/>
          <w:bCs/>
          <w:sz w:val="28"/>
          <w:szCs w:val="24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Рынок ритуальных услуг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На территории муниципального образования город Краснодар расположено 18 кладбищ: 6 действующих, на 7 разрешено только подзахоронение, 5 закрытых для захоронений и подзахоронений.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На рынке ритуальных услуг осуществляли деятельность 27 субъектов частной формы собственности, занимающихся организацией похорон и предоставлением связанных с ними услуг, а также 1 муниципальное предприятие ритуальных услуг.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Многие ритуальные фирмы муниципального образования оказывают полный спектр услуг: от оформления документов на захоронение/подзахоронение на любом действующем кладбище Краснодара до последующего ухода за захоронениями.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настояще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е время нет государственных бюджетных организаций, предоставляющих свои услуги на безвозмездной основе. За счёт бюджетных средств муниципального образования город Краснодар предусмотрено захоронение исключительно лиц без определенного места жительства.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Рынок п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охоронных услуг представляют более чем достаточное количество фирм. Это рынок с достаточно высокой конкуренцией, и ценовой фактор играет далеко не последнюю роль. Дальнейшее развитие конкуренции на рынке ритуальных услуг приведет к росту качества сервиса.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Рынок услуг по сбору и транспортированию твёрдых коммунальных отходов (ТКО)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соответствии с приказом минис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терства топливно-энергетического комплекса и жилищно-коммунального хозяйства Краснодарского края от 09.01.2017 № 1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по Краснодарской зоне деятельности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статус регионального оператора по обращению с ТКО  сроком на 1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0 лет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присвоен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АО «Мусороуборочная компания»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eastAsia="ru-RU" w:bidi="ar-SA"/>
        </w:rPr>
        <w:t xml:space="preserve">В Краснодаре оборудовано 8849 контейнерных площадок для сбора ТКО, из них 1984 являются общедоступными, 6865 – принадлежат третьим лицам. Вывоз отходов осуществляется силами АО «Мусороуборочная компания».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рамках оказания услуг по обращению с ТКО в 2025 году компанией транспортировано порядка 9,2 млн куб. м. ТКО.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highlight w:val="white"/>
          <w:shd w:val="clear" w:color="auto" w:fill="ffff00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 2025 году на территории города Краснодара услуги по сбору и транспортированию ТКО оказывали 8 организаций частной формы собственности. </w:t>
      </w:r>
      <w:r>
        <w:rPr>
          <w:highlight w:val="white"/>
          <w:shd w:val="clear" w:color="auto" w:fill="ffff00"/>
        </w:rPr>
      </w:r>
      <w:r>
        <w:rPr>
          <w:highlight w:val="white"/>
          <w:shd w:val="clear" w:color="auto" w:fill="ffff00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Участие в опросе приняли 1349 представителе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й организаций рынков сферы ЖКХ и благоустройства. Около 39% опрошенных представителей рынка считают, что конкуренция в сфере их деятельности «высокая» и «очень высокая», остальные характеризуют уровень конкуренции на рынках сферы ЖКХ и благоустройства как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невысокий.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 xml:space="preserve">Оценивая наличие административных и экономических барьеров, предприниматели отметили, что наиболее часто сталкивались с ними при получении господдержки, при контроле и надзоре за текущей предпринимательской деятельностью, при регистрации субъектов МСП.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Основные проблемы рынка: 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едостаточное количество существующей инфраструктуры для обработки и размещения отходов в соответствии с нормами законодательства Российской Федерации; д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ефицит свободных земель, отвечающих требованиям экологической безопасности при размещении объектов по обращению с отходами; 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есанкционированные свалки.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center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b/>
          <w:i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color w:val="000000"/>
          <w:sz w:val="28"/>
          <w:szCs w:val="28"/>
          <w:highlight w:val="white"/>
          <w:lang w:eastAsia="ru-RU"/>
        </w:rPr>
        <w:t xml:space="preserve">Транспортный комплекс и дорожная деятельность</w:t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ffffff" w:themeColor="background1" w:fill="ffffff" w:themeFill="background1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Рынок оказания услуг по перевозке пассажиров автомобильным трансп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ортом по муниципальным маршрутам регулярных перевозок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</w:p>
    <w:p>
      <w:pPr>
        <w:pStyle w:val="800"/>
        <w:jc w:val="both"/>
        <w:spacing w:before="0" w:after="0" w:line="276" w:lineRule="auto"/>
        <w:shd w:val="clear" w:color="ffffff" w:themeColor="background1" w:fill="ffffff" w:themeFill="background1"/>
        <w:widowControl w:val="off"/>
        <w:tabs>
          <w:tab w:val="clear" w:pos="708" w:leader="none"/>
          <w:tab w:val="left" w:pos="709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ab/>
        <w:t xml:space="preserve">Общественный транспорт является визитной карточкой города. По состоянию на 01.01.2026 маршрутная сеть краевого центра включает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92 автобусных маршрута (1131 единица транспортных средств). 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8"/>
        <w:jc w:val="both"/>
        <w:spacing w:before="0" w:after="0" w:line="276" w:lineRule="auto"/>
        <w:shd w:val="clear" w:color="ffffff" w:themeColor="background1" w:fill="ffffff" w:themeFill="background1"/>
        <w:rPr>
          <w:highlight w:val="white"/>
          <w:shd w:val="clear" w:color="auto" w:fill="auto"/>
        </w:rPr>
      </w:pPr>
      <w:r>
        <w:rPr>
          <w:rFonts w:ascii="Times New Roman" w:hAnsi="Times New Roman"/>
          <w:bCs/>
          <w:sz w:val="28"/>
          <w:szCs w:val="28"/>
          <w:highlight w:val="white"/>
          <w:shd w:val="clear" w:color="auto" w:fill="auto"/>
        </w:rPr>
        <w:t xml:space="preserve">Перево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auto" w:fill="auto"/>
        </w:rPr>
        <w:t xml:space="preserve">зку пассажиров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по муниципальным маршрутам в муниципальном образовании город Краснодар 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auto" w:fill="auto"/>
        </w:rPr>
        <w:t xml:space="preserve">осуществляет 21 предприятие, в том числе одно муниципальной формы собственности.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Основными крупными предприятиями отрасли являются МУП «КТТУ», </w:t>
      </w:r>
      <w:r>
        <w:rPr>
          <w:rFonts w:ascii="Times New Roman" w:hAnsi="Times New Roman" w:eastAsia="Times New Roman"/>
          <w:color w:val="000000" w:themeColor="dark1"/>
          <w:sz w:val="28"/>
          <w:szCs w:val="28"/>
          <w:highlight w:val="white"/>
          <w:shd w:val="clear" w:color="auto" w:fill="auto"/>
          <w:lang w:eastAsia="ru-RU"/>
        </w:rPr>
        <w:t xml:space="preserve">ООО «Кубань», ООО «Краснодаравтотранс», ООО «СВП», ООО «Транзит-Авто», ООО «Технотранс-Юг».</w:t>
      </w:r>
      <w:r>
        <w:rPr>
          <w:rFonts w:ascii="Times New Roman" w:hAnsi="Times New Roman" w:eastAsia="Times New Roman"/>
          <w:color w:val="000000" w:themeColor="dark1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contextualSpacing/>
        <w:ind w:firstLine="709"/>
        <w:jc w:val="both"/>
        <w:spacing w:before="0" w:after="0" w:line="276" w:lineRule="auto"/>
        <w:shd w:val="clear" w:color="auto" w:fill="ffffff"/>
        <w:tabs>
          <w:tab w:val="left" w:pos="0" w:leader="none"/>
          <w:tab w:val="clear" w:pos="708" w:leader="none"/>
        </w:tabs>
        <w:rPr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 2025 году автотранспортом общего пользования перевезено около 78,3 млн человек, около 80% из которых  – предприятиями немуниципальной формы собственности.</w:t>
      </w:r>
      <w:r>
        <w:rPr>
          <w:highlight w:val="white"/>
        </w:rPr>
      </w:r>
      <w:r>
        <w:rPr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целях развит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ия конкуренции в отрасли на постоянной основе проводится работа по оптимизации маршрутной сети транспорта города и повышению качества пассажирских перевозок, мероприятия по изучению потребности населения в пассажирских перевозках, по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продлению автобусных маршрутов, изменению схем движения. Кроме того, открываются новые автобусные маршруты, вносятся корректировки в расписание движения, увеличивается количество автобусов на маршрутах, проводится работа по привлечению новых перевозчиков.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Так, в 2025 году автопарк частных перевозчиков пополнился 19 автобусами.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Рынок оказания услуг по перевозке пассажиров и багажа легковым такси</w:t>
      </w: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Рынок оказания услуг по перевозке пассажиров и багажа легковым такси в последние годы претерпел существенные изменения, что обусловлено высоким уровнем цифровизации этой отрасли. 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Развитие IT-технологий способствовало появлению и акти</w:t>
      </w:r>
      <w:r>
        <w:rPr>
          <w:rFonts w:ascii="Times New Roman" w:hAnsi="Times New Roman"/>
          <w:sz w:val="28"/>
          <w:highlight w:val="white"/>
        </w:rPr>
        <w:t xml:space="preserve">вному развитию в отрасли агрегаторов такси: «Яндекс.Такси», «Uber» и других. Упрощение процесса заказа и сроков ожидания машины с помощью мобильных приложений стали факторами увеличения численности пользователей такси в стране и числа совершенных поездок. 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Едином государственном реестре субъектов малого и среднего предпринимательства на территории муниципального образования город Краснодар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зарегистрировано 590 микропредприятий по виду деятельности – «деятельность легкового такси и арендованных легковых автомобилей с водителем».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Основными проблемами в сфере </w:t>
      </w:r>
      <w:r>
        <w:rPr>
          <w:rFonts w:ascii="Times New Roman" w:hAnsi="Times New Roman"/>
          <w:sz w:val="28"/>
          <w:highlight w:val="white"/>
        </w:rPr>
        <w:t xml:space="preserve">перевозок легковым такси в Краснодаре, как и других городах, являются диспетчерские службы и интернет-сервисы по заказу такси, которые лишь принимают заказы, передавая их как официально существующей фирме, так и нелегальному перевозчику, но не обеспечивают</w:t>
      </w:r>
      <w:r>
        <w:rPr>
          <w:rFonts w:ascii="Times New Roman" w:hAnsi="Times New Roman"/>
          <w:sz w:val="28"/>
          <w:highlight w:val="white"/>
        </w:rPr>
        <w:t xml:space="preserve"> ни качество обслуживания, ни, что особенно важно, – безопасность пассажиров; а также неравный доступ перевозчиков такси к отдельным территориям с высоким пассажиропотоком (аэропорты, вокзалы), вследствие чего завышаются цены и ограничивается конкуренция. 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Рынок дорожной деятельности (за исключением проектирования)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Муниципальное образование город Краснодар в транспортном отношении является центром Краснодарского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края, территориально-транспортного комплекса и входит в первую десятку стратегических транспортных узлов, обслуживающих транзитные грузопотоки и пассажиропотоки, следующие в направлении южных морских портов России и курортную зону Черноморского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побережья.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На территории муниципального образования город Краснодар в 2025 году в сфере дорожной деятельности осуществляли деятельность 18 организаций, в том числе 17 – частной формы собственности и 1 – государственной. 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00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 2025 году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выполнен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р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емонт автомобильных дорог на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18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участках 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3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трамвайных переездах общей протяжённостью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27,1 км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.; в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ыполнены строительно-монтажные работы на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3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объектах капитального строительства общей протяжённостью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7,65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км.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,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выполнено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строительство тротуаров на 12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участках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протяжённостью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7,66 км.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;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выполнен ямочный ремонт асфальтобетонного покрытия дорог на 408 уча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стках площадью 62 тыс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. кв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. м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и много другое.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Проводилась работа по ликвидации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автомобильных парковок, не соответствующих требованиям нормативных документов. За 2025 год было ликвидировано 34 таких парковки.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00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00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Участие в анкетировании приняли 1362 представител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я рынков транспортного комплекса и дорожной деятельности муниципального образования. Большинство представителей транспортных 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рганиз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аций (62%) оценивают конкуренцию на рынке как «умеренную и слабую», а также указывают на её отсутствие. Представители рынков отметили, что сталкивались с ограничениями конкуренции на рынке при контроле и надзоре за текущей предпринимательской деятельностью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center"/>
        <w:spacing w:before="0" w:after="0" w:line="276" w:lineRule="auto"/>
        <w:shd w:val="clear" w:color="auto" w:fill="ffffff"/>
        <w:tabs>
          <w:tab w:val="clear" w:pos="708" w:leader="none"/>
          <w:tab w:val="left" w:pos="993" w:leader="none"/>
        </w:tabs>
        <w:rPr>
          <w:rFonts w:ascii="Times New Roman" w:hAnsi="Times New Roman"/>
          <w:b/>
          <w:i/>
          <w:sz w:val="28"/>
          <w:highlight w:val="white"/>
        </w:rPr>
      </w:pPr>
      <w:r>
        <w:rPr>
          <w:rFonts w:ascii="Times New Roman" w:hAnsi="Times New Roman"/>
          <w:b/>
          <w:i/>
          <w:sz w:val="28"/>
          <w:highlight w:val="white"/>
        </w:rPr>
      </w:r>
      <w:r>
        <w:rPr>
          <w:rFonts w:ascii="Times New Roman" w:hAnsi="Times New Roman"/>
          <w:b/>
          <w:i/>
          <w:sz w:val="28"/>
          <w:highlight w:val="white"/>
        </w:rPr>
      </w:r>
      <w:r>
        <w:rPr>
          <w:rFonts w:ascii="Times New Roman" w:hAnsi="Times New Roman"/>
          <w:b/>
          <w:i/>
          <w:sz w:val="28"/>
          <w:highlight w:val="white"/>
        </w:rPr>
      </w:r>
    </w:p>
    <w:p>
      <w:pPr>
        <w:pStyle w:val="800"/>
        <w:contextualSpacing/>
        <w:ind w:firstLine="709"/>
        <w:jc w:val="center"/>
        <w:spacing w:before="0" w:after="0" w:line="276" w:lineRule="auto"/>
        <w:shd w:val="clear" w:color="auto" w:fill="ffffff"/>
        <w:tabs>
          <w:tab w:val="clear" w:pos="708" w:leader="none"/>
          <w:tab w:val="left" w:pos="993" w:leader="none"/>
        </w:tabs>
        <w:rPr>
          <w:rFonts w:ascii="Times New Roman" w:hAnsi="Times New Roman"/>
          <w:b/>
          <w:i/>
          <w:sz w:val="28"/>
          <w:highlight w:val="white"/>
        </w:rPr>
      </w:pPr>
      <w:r>
        <w:rPr>
          <w:rFonts w:ascii="Times New Roman" w:hAnsi="Times New Roman"/>
          <w:b/>
          <w:i/>
          <w:sz w:val="28"/>
          <w:highlight w:val="white"/>
        </w:rPr>
        <w:t xml:space="preserve">Информационные технологии</w:t>
      </w:r>
      <w:r>
        <w:rPr>
          <w:rFonts w:ascii="Times New Roman" w:hAnsi="Times New Roman"/>
          <w:b/>
          <w:i/>
          <w:sz w:val="28"/>
          <w:highlight w:val="white"/>
        </w:rPr>
      </w:r>
      <w:r>
        <w:rPr>
          <w:rFonts w:ascii="Times New Roman" w:hAnsi="Times New Roman"/>
          <w:b/>
          <w:i/>
          <w:sz w:val="28"/>
          <w:highlight w:val="white"/>
        </w:rPr>
      </w:r>
    </w:p>
    <w:p>
      <w:pPr>
        <w:pStyle w:val="800"/>
        <w:contextualSpacing/>
        <w:ind w:firstLine="709"/>
        <w:spacing w:before="0" w:after="0" w:line="276" w:lineRule="auto"/>
        <w:shd w:val="clear" w:color="auto" w:fill="ffffff"/>
        <w:tabs>
          <w:tab w:val="clear" w:pos="708" w:leader="none"/>
          <w:tab w:val="left" w:pos="993" w:leader="none"/>
        </w:tabs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Рынок услуг связи, в том числе по предоставлению широкополосного доступа к информационно-телекоммуникационной сети «Интернет»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Информационные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технологии и телекоммуникации остаются одним из наиболее динамично развивающихся секторов экономики муниципального образования город Краснодар как по росту доходов, инвестиций, физического объёма услуг, так и по темпам проводимых в отрасли преобразований.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На территории муниципального образования город Краснодар представлено более 100 предприятий и организаций, оказывающих услуги населению и хозяйствующим субъектам в сфере почтовой, сотовой и электрической связи.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Наиболее крупные из них: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Краснодарский краевой радиотелевизионный передающий центр, филиал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ФГУП «Россий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ская телевизионная и радиовещательная сеть» (Краснодарский КРТПЦ);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Краснодарски почтамт УФПС Краснодарского края АО «Почта России»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;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Краснодарский филиал ПАО «Ростелеком»; филиал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 ПАО «Вымпел-Коммуникации», Кавказский филиал ПАО «МегаФон»; филиал ПАО «Мобильные ТелеСистемы»; краснодарский филиал ООО «Т2 Мобайл».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Покрытие сотовой связью территории муниципального образования город Краснодар составляет практически 100%.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 w:eastAsia="ru-RU" w:bidi="ar-SA"/>
        </w:rPr>
        <w:t xml:space="preserve">Число домашних хозяйств, имеющих доступ к ШПД, по итогам 2025 года составил 100% от общего числа домашних хозяйств.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Функционирование рынка информационных технологий происходит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в условиях конкуренции, о чем свидетельствует достаточно широкий перечень предоставляемых услуг, которые зависят от скорости, надежности, предоставления дополнительных сервисов, их удобства, распространенности, а также различная тарификация данных услуг.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Участие в опросе приняли 1344 представителей организаций сферы информационных технологий. Большинство хозяйствующих субъектов, осуществляющих деятельность в данной сфере, оценили уровень конкуренции на своем рынке как «умеренный» и «слабый».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8"/>
        <w:spacing w:before="0" w:after="0" w:line="276" w:lineRule="auto"/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8"/>
        <w:spacing w:before="0" w:after="0" w:line="276" w:lineRule="auto"/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Рынок розничной торговли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684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В Краснодаре расположены крупнейшие по площади торгово-развлекательные центры в ЮФО: ТРЦ «OZ МОЛЛ», Мегацентр «Красная Площадь»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, ТРЦ «Галерея Краснодар», ТРК «СБС Мегамолл»; представлены крупные торговые сети: «Магнит», «О’Кей», «Ашан», «Лемана Про», «Лента», «М-видео», «METRO», «Пятёрочка», «Бауцентр», «Перекрёсток», «OBI», «Эльдорадо», «Спортмастер», «Hoff» и другие.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684"/>
        <w:jc w:val="both"/>
        <w:spacing w:before="0" w:after="0" w:line="276" w:lineRule="auto"/>
        <w:shd w:val="clear" w:color="ffffff" w:themeColor="background1" w:fill="ffffff" w:themeFill="background1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Краснодар занимает лидирующие позиции в ЮФО по обороту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розничной торговли на душу населения и обеспеченности торговыми площадями.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Количество объектов стационарной торговли на территории муниципального образования город Краснодар – 9940 единиц.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Оборот розничной торговли по крупным и средним организациям в 2025 году составил 494,9 млрд руб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лей.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684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В 2025 году продолжала развитие онлайн-торговля: дарксторы крупных сетевых компаний «Озон» и «Яндекс Маркет», маркетплейсы – «Валдберриз» «ЛаМода», «Метамаркет». Усилила своё развитие и дис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танционная торговля посредством служб доставки (компании «Магнит», «Пятёрочка», «Ашан», «Метро», «Окей», «Самокат», «ВкусВилл», «Купер»). Продолжали своё развитие сети магазинов-дискаунтеров: «Светофор», «Победа», «Чижик» и др.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684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 Краснодаре функц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ионируют крупнейшие на Юге России современные логистические (ООО «Адва Логистик», ООО «Холдинг Кубань», ЗАО «ЕврАзЭС Краснодар») и распределительные центры (ООО «Дары Кубани», ООО «Дар Фрут», «Штиль Зюдвест», «Вайлдберриз») общей площадью 417,5 тыс. кв. м.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684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Перспективы развития розничной торговли просматриваются в насыщении потребительского рынка продукцией кубанских сельхозпроизводителей через расширение сети рыночной торговли.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Рынок услуг розничной торговли продовольственными и непродовольственными товарами на территории муниципального образования город Краснодар относится к рынку с хорошо развитой конкурентной средой.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Развитию торговой инфраструктуры, оптимизации товарных потоков на территории города Краснодара способствует строитель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ство современных логистических комплексов, внедрение логистических технологий, позволяющих исключить посредников при товародвижении, обеспечить конкурентоспособную цену, более высокое качество и широкий спектр услуг по закупке, хранению и доставке товаров.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Из общего количества хозяйствующих субъектов, принявших участие в анкетировании, 1,6 тысячи единиц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предприятия сферы торговли и услуг населению. Из общег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 количества опрошенных представителей сферы потребительского рынка часть считают, что конкуренция на их целевом рынке есть и она «высокая» и «очень высокая», хотя пятая часть респондентов считает, что конкуренция в потребительской сфере отсутствует.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center"/>
        <w:spacing w:before="0" w:after="0" w:line="276" w:lineRule="auto"/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Агропромышленный комплекс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rFonts w:ascii="Times New Roman" w:hAnsi="Times New Roman" w:eastAsia="Times New Roman"/>
          <w:sz w:val="24"/>
          <w:szCs w:val="28"/>
          <w:highlight w:val="white"/>
        </w:rPr>
      </w:pPr>
      <w:r>
        <w:rPr>
          <w:rFonts w:ascii="Times New Roman" w:hAnsi="Times New Roman" w:eastAsia="Times New Roman"/>
          <w:sz w:val="24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4"/>
          <w:szCs w:val="28"/>
          <w:highlight w:val="white"/>
        </w:rPr>
      </w:r>
      <w:r>
        <w:rPr>
          <w:rFonts w:ascii="Times New Roman" w:hAnsi="Times New Roman" w:eastAsia="Times New Roman"/>
          <w:sz w:val="24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Рынок реализации сельскохозяйственной продукции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Сельское хозяйство является важной составной частью экономики муниципального образования город Краснодар, в которой заключен знач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ительный экономический потенциал. 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Основная доля произв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одства сельскохозяйственной продукции в АПК города приходится на 17 сельскохозяйственных организаций. Кроме того, на территории Краснодара зарегистрированы 513 крестьянских (фермерских) хозяйств, около 16 тысяч семей ведут личное подсобное хозяйство (ЛПХ).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8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Объём отгруженной продукции собственного производства, выполненных работ и услуг собственными силами крупных и средних сельскохозяйственных организаций, в 2025 году составил 15,1 млрд рублей.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684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Для реализации сельскохозяйственной продукции и прод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уктов ее переработки в Краснодаре действуют розничные рынки и ярмарки; также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для реализации продукции размещены НТО.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ind w:left="720"/>
        <w:spacing w:before="0" w:after="0" w:line="276" w:lineRule="auto"/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Рынок племенного животноводства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Рынок племенного животноводства муниципального образования город Краснодар представлен 5 животноводческими хозяйствами, а также КФХ и ЛПХ гра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ждан. 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8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Объём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отгруженной продукции животноводства собственного производства, выполненных работ и услуг собственными силами крупных и средних организаций, составил порядка 1,2 млрд рублей, всеми сельскохозяйственными организациями – 2,7 млрд рублей (в оценке 2025 года).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8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В 2025 году производство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основных видов сельскохозяйственной продукции в крупных и средних сельхозорганизациях составило: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8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скот и птица на убой (в живом весе) – 12,6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тыс.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 тонн;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8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молоко – 21,7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тыс.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тонн: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8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яйца – около 3,5 млн штук.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Численность основных видов скота и птицы в крупных и средних сельхозорганизациях составила: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крупный рогатый скот – около 6,1 тыс. голов;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свиньи – около 3,1 тыс. голов;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птица – 780,7 тыс. голов.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бъём продукции, произведённой крестьянскими (фермерскими) и личными подсобными хозяйствами, в 2025 году составил 119 тонн мяса, 530 тонн молока, более 1,0 млн штук яиц.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contextualSpacing/>
        <w:ind w:firstLine="709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contextualSpacing/>
        <w:ind w:firstLine="709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800"/>
        <w:contextualSpacing/>
        <w:ind w:firstLine="709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Рынок переработки водных биоресурсов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Включение рынка переработки водных биоресурсов в</w:t>
      </w:r>
      <w:r>
        <w:rPr>
          <w:rFonts w:ascii="Times New Roman" w:hAnsi="Times New Roman"/>
          <w:sz w:val="28"/>
          <w:highlight w:val="white"/>
        </w:rPr>
        <w:t xml:space="preserve"> перечень приоритетных рынков связано с тем, что переработка водных биоресурсов должна рационально и в полной</w:t>
      </w:r>
      <w:r>
        <w:rPr>
          <w:rFonts w:ascii="Times New Roman" w:hAnsi="Times New Roman"/>
          <w:sz w:val="28"/>
          <w:highlight w:val="white"/>
        </w:rPr>
        <w:t xml:space="preserve"> мере реализовать возможности сырья: извлекать как можно больше компонентов, расширять ассортимент для большего удовлетворения спроса потребителей.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муниципальном образовании город Краснодар в едином реестре субъектов малого и среднего предпринимательства по виду деятельности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«переработка и консервирование рыбы, ракообразных и моллюсков» зарегистрировано 31 хозяйствующий субъект.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 Доля организаций частной формы собственности на рынке переработки водных биоресурсов составляет 100%.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Сегодня на данном р</w:t>
      </w:r>
      <w:r>
        <w:rPr>
          <w:rFonts w:ascii="Times New Roman" w:hAnsi="Times New Roman"/>
          <w:sz w:val="28"/>
          <w:highlight w:val="white"/>
        </w:rPr>
        <w:t xml:space="preserve">ынке существуют следующие проблемы: высокий уровень физического износа и морального старения рыбоперерабатывающей инфраструктуры; недостаточный уровень государственной поддержки переработки водных биоресурсов для малого бизнеса. 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Конкуренции принадлежит активная роль в расширении производства и рынка сбыта продукции, минимизации издержек производства и максимизации прибыли в организациях агропромышленного комплекса.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анкетировании приняли участие 1310 представителей агропромышленного комплекса города, почти 69% реализуемой продукции которых приходится на локальный рынок и рынок Краснодарского края.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Большая часть опрошенных считают, что уровень конкуренции в сфере их деятельности «высокий» и за последние 3 года количество конкурентов на рынке увеличилось. При этом третья часть опрошенных отметила доступность государственной поддержки для бизнеса.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Для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дальнейшего развития конкуренции на рынках агропромышленного комплекса города необходимо: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увеличение мер поддержки развития КФХ, индивидуальных предпринимателей и ЛПХ граждан, садоводческих некоммерческих объединений города Краснодара; </w:t>
      </w:r>
      <w:r>
        <w:rPr>
          <w:rFonts w:ascii="Times New Roman" w:hAnsi="Times New Roman" w:eastAsia="Calibri" w:cs="Times New Roman"/>
          <w:color w:val="auto"/>
          <w:sz w:val="28"/>
          <w:szCs w:val="22"/>
          <w:highlight w:val="white"/>
          <w:lang w:val="ru-RU" w:eastAsia="en-US" w:bidi="ar-SA"/>
        </w:rPr>
        <w:t xml:space="preserve">улучшение условий для реализации выращенной продукции; </w:t>
      </w:r>
      <w:r>
        <w:rPr>
          <w:rFonts w:ascii="Times New Roman" w:hAnsi="Times New Roman" w:eastAsia="Calibri" w:cs="Times New Roman"/>
          <w:color w:val="auto"/>
          <w:sz w:val="28"/>
          <w:szCs w:val="22"/>
          <w:highlight w:val="white"/>
          <w:lang w:val="ru-RU" w:eastAsia="en-US" w:bidi="ar-SA"/>
        </w:rPr>
        <w:t xml:space="preserve">грантовое финансирование семейных животноводческих ферм; </w:t>
      </w:r>
      <w:r>
        <w:rPr>
          <w:rFonts w:ascii="Times New Roman" w:hAnsi="Times New Roman" w:eastAsia="Calibri" w:cs="Times New Roman"/>
          <w:color w:val="auto"/>
          <w:sz w:val="28"/>
          <w:szCs w:val="22"/>
          <w:highlight w:val="white"/>
          <w:lang w:val="ru-RU" w:eastAsia="en-US" w:bidi="ar-SA"/>
        </w:rPr>
        <w:t xml:space="preserve">предоставление субсидий на поддержку молочного животноводства в КФХ и на</w:t>
      </w:r>
      <w:r>
        <w:rPr>
          <w:rFonts w:ascii="Times New Roman" w:hAnsi="Times New Roman"/>
          <w:sz w:val="28"/>
          <w:highlight w:val="white"/>
        </w:rPr>
        <w:t xml:space="preserve"> повышение эффективности использования и развития ресурсного потенциала рыбохозяйственного комплекса</w:t>
      </w:r>
      <w:r>
        <w:rPr>
          <w:rFonts w:ascii="Times New Roman" w:hAnsi="Times New Roman" w:eastAsia="Calibri" w:cs="Times New Roman"/>
          <w:color w:val="auto"/>
          <w:sz w:val="28"/>
          <w:szCs w:val="22"/>
          <w:highlight w:val="white"/>
          <w:lang w:val="ru-RU" w:eastAsia="en-US" w:bidi="ar-SA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 w:eastAsia="Calibri" w:cs="Times New Roman"/>
          <w:color w:val="auto"/>
          <w:sz w:val="28"/>
          <w:szCs w:val="22"/>
          <w:highlight w:val="white"/>
        </w:rPr>
      </w:pPr>
      <w:r>
        <w:rPr>
          <w:rFonts w:ascii="Times New Roman" w:hAnsi="Times New Roman" w:eastAsia="Calibri" w:cs="Times New Roman"/>
          <w:color w:val="auto"/>
          <w:sz w:val="28"/>
          <w:szCs w:val="22"/>
          <w:highlight w:val="white"/>
          <w:lang w:val="ru-RU" w:eastAsia="en-US" w:bidi="ar-SA"/>
        </w:rPr>
      </w:r>
      <w:r>
        <w:rPr>
          <w:rFonts w:ascii="Times New Roman" w:hAnsi="Times New Roman" w:eastAsia="Calibri" w:cs="Times New Roman"/>
          <w:color w:val="auto"/>
          <w:sz w:val="28"/>
          <w:szCs w:val="22"/>
          <w:highlight w:val="white"/>
        </w:rPr>
      </w:r>
      <w:r>
        <w:rPr>
          <w:rFonts w:ascii="Times New Roman" w:hAnsi="Times New Roman" w:eastAsia="Calibri" w:cs="Times New Roman"/>
          <w:color w:val="auto"/>
          <w:sz w:val="28"/>
          <w:szCs w:val="22"/>
          <w:highlight w:val="white"/>
        </w:rPr>
      </w:r>
    </w:p>
    <w:p>
      <w:pPr>
        <w:pStyle w:val="800"/>
        <w:contextualSpacing/>
        <w:ind w:firstLine="709"/>
        <w:jc w:val="center"/>
        <w:spacing w:before="0" w:after="0" w:line="276" w:lineRule="auto"/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Сфера промышленности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Рынок продукции лёгкой промышленности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76"/>
        <w:ind w:firstLine="708"/>
        <w:jc w:val="both"/>
        <w:spacing w:before="0" w:after="0" w:line="276" w:lineRule="auto"/>
        <w:shd w:val="clear" w:color="auto" w:fill="ffffff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Несмотря на незначительную долю продукции лёгкой промышленности в общем объёме продукции обрабатывающих производств (</w:t>
      </w:r>
      <w:r>
        <w:rPr>
          <w:color w:val="000000"/>
          <w:sz w:val="28"/>
          <w:szCs w:val="28"/>
          <w:highlight w:val="white"/>
        </w:rPr>
        <w:t xml:space="preserve">2,2</w:t>
      </w:r>
      <w:r>
        <w:rPr>
          <w:color w:val="000000"/>
          <w:sz w:val="28"/>
          <w:szCs w:val="28"/>
          <w:highlight w:val="white"/>
        </w:rPr>
        <w:t xml:space="preserve">%),</w:t>
      </w:r>
      <w:r>
        <w:rPr>
          <w:color w:val="000000"/>
          <w:sz w:val="28"/>
          <w:szCs w:val="28"/>
          <w:highlight w:val="white"/>
        </w:rPr>
        <w:t xml:space="preserve"> отрасль является жизненно важной и социально значимой для решения местных проблем (обеспечение </w:t>
      </w:r>
      <w:r>
        <w:rPr>
          <w:color w:val="000000"/>
          <w:sz w:val="28"/>
          <w:szCs w:val="28"/>
          <w:highlight w:val="white"/>
        </w:rPr>
        <w:t xml:space="preserve">потребностей населения в предметах первой необходимости, женской трудозанятости, увеличения налоговых поступлений в бюджеты всех уровней и т.д.)</w:t>
      </w:r>
      <w:r>
        <w:rPr>
          <w:color w:val="000000"/>
          <w:sz w:val="28"/>
          <w:szCs w:val="28"/>
          <w:highlight w:val="white"/>
          <w:shd w:val="clear" w:color="auto" w:fill="auto"/>
        </w:rPr>
        <w:t xml:space="preserve">.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00"/>
        <w:ind w:firstLine="720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На рынке продукции лёгкой промышленности ведут деятельность 24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крупных и средних хозяйствующих субъекта, среди них такие предприятия как: ЗАО «А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лександ</w:t>
      </w:r>
      <w:r>
        <w:rPr>
          <w:rFonts w:ascii="Times New Roman" w:hAnsi="Times New Roman"/>
          <w:sz w:val="28"/>
          <w:szCs w:val="28"/>
          <w:highlight w:val="white"/>
        </w:rPr>
        <w:t xml:space="preserve">рия», ООО «Кра</w:t>
      </w:r>
      <w:r>
        <w:rPr>
          <w:rFonts w:ascii="Times New Roman" w:hAnsi="Times New Roman"/>
          <w:sz w:val="28"/>
          <w:szCs w:val="28"/>
          <w:highlight w:val="white"/>
        </w:rPr>
        <w:t xml:space="preserve">снодарская ткацкая фабрика», ООО «Аллигатор», ООО «Фасон города», ООО «Вега-Стиль», ООО «Южная текстильная компания», ООО «Клеопатра-Стиль», ООО «ЮгСпецПром», ООО «Зарина-Юг» и другие.  Наряду с ними значительную роль играют субъекты малого предприниматель</w:t>
      </w:r>
      <w:r>
        <w:rPr>
          <w:rFonts w:ascii="Times New Roman" w:hAnsi="Times New Roman"/>
          <w:sz w:val="28"/>
          <w:szCs w:val="28"/>
          <w:highlight w:val="white"/>
        </w:rPr>
        <w:t xml:space="preserve">ства, которые успешно развивают производство самых разнообразных видов продукции: одеял и пледов из верблюжьей шерсти, пухоперовых изделий, постельного и столового белья, сувенирных изделий, женской, мужской и детской одежды, рабочей и специальной одежды.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Производство текстильных изделий в 2025 году составило 22,1 млн рублей, производство одежды – 244,1 млн рублей, производство кожи и изделий из кожи – 2337,1 млн рублей.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Спрос на продукцию предприятий лёгкой промышленности нестабильный, на рынке муниципального образования много аналогичной продукции из других регионов.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/>
          <w:sz w:val="28"/>
          <w:szCs w:val="28"/>
          <w:highlight w:val="white"/>
        </w:rPr>
        <w:t xml:space="preserve">ля увеличения конкурентоспособности своей продукции и поиска новых рынков её сбыта краснодарские предприятия лёгкой промышленности ежегодно принимают участие в международных и всероссийских выставках и конкурсах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Рынок обработки древесины и производства изделий из дерева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Продукция деревообрабатывающего производства является наиболее востребованной и охватывает фактически все отрасли народного хозяйства, так как из древесного сырья в настоящее время получают более двадцати тысяч различных изделий.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Calibri" w:cs="Times New Roman"/>
          <w:color w:val="auto"/>
          <w:sz w:val="28"/>
          <w:szCs w:val="28"/>
          <w:highlight w:val="white"/>
          <w:shd w:val="clear" w:color="auto" w:fill="auto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В 2025 году на рынке обработки древесины и производства изделий из дерева в городе функционировало 11 предприятий частной формы собственности.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  <w:shd w:val="clear" w:color="auto" w:fill="auto"/>
        </w:rPr>
      </w:r>
    </w:p>
    <w:p>
      <w:pPr>
        <w:pStyle w:val="800"/>
        <w:ind w:firstLine="708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Объёмы крупных и средних предприятий, занятых в обработке древесины и производстве изделий из дерева и пробки, кроме мебели, производстве изделий из соломки и материалов для плетения, в 2025 году составили 8,5 миллиона рублей.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 ведущим деревообрабатывающим предприятиям относятся ООО «Ангажемент», ООО «Сарм», ООО «КСТК», ООО ПФ «Поллет», ООО «ПищТех», ООО «Краснодарская деревообрабатывающая фабрика», ООО «ЮГДРЕВМАРКЕТ», ООО «Югмебель Престиж К», ООО «Поддон-юг» и другие.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ind w:firstLine="708"/>
        <w:spacing w:before="0" w:after="0" w:line="276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Рынок продукции машиностроения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В отрасли машиностроения осуществляют деятельность 98 организаций частной формы собственности, что с</w:t>
      </w:r>
      <w:r>
        <w:rPr>
          <w:rFonts w:ascii="Times New Roman" w:hAnsi="Times New Roman"/>
          <w:sz w:val="28"/>
          <w:highlight w:val="white"/>
        </w:rPr>
        <w:t xml:space="preserve">оставляет третью ч</w:t>
      </w:r>
      <w:r>
        <w:rPr>
          <w:rFonts w:ascii="Times New Roman" w:hAnsi="Times New Roman"/>
          <w:sz w:val="28"/>
          <w:highlight w:val="white"/>
        </w:rPr>
        <w:t xml:space="preserve">асть всех промышленных предприятий муниципального образования.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Крупнейшими предприятиями в отрасли машиностроения муницип</w:t>
      </w:r>
      <w:r>
        <w:rPr>
          <w:rFonts w:ascii="Times New Roman" w:hAnsi="Times New Roman"/>
          <w:sz w:val="28"/>
          <w:highlight w:val="white"/>
        </w:rPr>
        <w:t xml:space="preserve">ального образования город Краснодар являются ЗАО «СвязьСтройДеталь», ООО «АС-Строй», ЗАО «Элеваторстройдеталь», ООО «АГМ-Сервис», ООО «КЛААС», ООО «БДТ-Агро», ООО «Эко-Спектрум», ООО «Краснодарский машиностроительный завод», ООО «Конмет», ООО «Металлпром».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Объём производства продукции машиностроения в 2025 году составил около 10,8 млрд рублей. 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Развитие конкуренции является движущей силой в сфере промышленного производства, формируя экономические интересы предпринимателей в направлении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Участие в опросе приняли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более </w:t>
      </w:r>
      <w:r>
        <w:rPr>
          <w:rFonts w:ascii="Times New Roman" w:hAnsi="Times New Roman"/>
          <w:sz w:val="28"/>
          <w:szCs w:val="28"/>
          <w:highlight w:val="white"/>
        </w:rPr>
        <w:t xml:space="preserve">1,4 тысячи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представителей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рынка </w:t>
      </w:r>
      <w:r>
        <w:rPr>
          <w:rFonts w:ascii="Times New Roman" w:hAnsi="Times New Roman"/>
          <w:sz w:val="28"/>
          <w:szCs w:val="28"/>
          <w:highlight w:val="white"/>
        </w:rPr>
        <w:t xml:space="preserve">промышленности города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, в подавляющем большинстве (более 67%) представляющих продукцию на локальном рынке и рынке Краснодарского края. Бо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льшинство хозяйствующих субъектов из числа опрошенных считают, что конкуренция в их сфере «умеренная», «слабая» либо отсутствует, поэтому четвёртая часть представителей рынков планирует расширение бизнеса: выход на новые географические и продуктовые рынки.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ind w:firstLine="708"/>
        <w:spacing w:before="0" w:after="0" w:line="276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00"/>
        <w:ind w:firstLine="708"/>
        <w:spacing w:before="0" w:after="0" w:line="276" w:lineRule="auto"/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Рынок санаторно-курортных и туристских услуг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fffff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Курортно-туристский комплекс муниципального образования город Краснодар – это: гостиницы, санаторно-курортные учреждения и организации отдыха.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В городе Краснодаре</w:t>
      </w:r>
      <w:r>
        <w:rPr>
          <w:rFonts w:ascii="Times New Roman" w:hAnsi="Times New Roman" w:eastAsia="Times New Roman"/>
          <w:sz w:val="24"/>
          <w:szCs w:val="24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действуют 250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коллективных средств размещения (отели, гостиницы, мини-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отели, гостевые дома и пр.), 106 из них имеют официальную классификацию.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 На территории муниципального образования город Краснодар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осуществляют деятельность 120 туристические фирм, из которых 26 – туроператоры, 94 – туристические агентства.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Услуги по организации досуга за городом оказывают 3 базы отдыха – «Лесная сказка», «Верловье», оздоровительный термальный комплекс «Райский Берег».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Курортно-туристский комплекс муниципального образования город Краснодар в</w:t>
      </w:r>
      <w:r>
        <w:rPr>
          <w:rFonts w:ascii="Times New Roman" w:hAnsi="Times New Roman"/>
          <w:sz w:val="28"/>
          <w:szCs w:val="28"/>
          <w:highlight w:val="white"/>
        </w:rPr>
        <w:t xml:space="preserve"> небольшом количестве представлен и лечебно-профилактическими учреждениями. Наиболее значимым и</w:t>
      </w:r>
      <w:r>
        <w:rPr>
          <w:rFonts w:ascii="Times New Roman" w:hAnsi="Times New Roman"/>
          <w:sz w:val="28"/>
          <w:szCs w:val="28"/>
          <w:highlight w:val="white"/>
        </w:rPr>
        <w:t xml:space="preserve">з них является ОАО «Центр восстановительной медицины и реабилитации «Краснодарская бальнеолечебница», имеющая собственный питьевой бювет с минеральной водой и 4 </w:t>
      </w:r>
      <w:r>
        <w:rPr>
          <w:rFonts w:ascii="Times New Roman" w:hAnsi="Times New Roman"/>
          <w:sz w:val="28"/>
          <w:szCs w:val="28"/>
          <w:highlight w:val="white"/>
        </w:rPr>
        <w:t xml:space="preserve">санатория: ГБУЗ детский санаторий для больных и инфицированных туберкулезом «Василек»; ГБУЗ детский санаторий для больных и инфицированных туберкулезом «Василек»; ГБУЗ «Детский санаторий Тополек»; ГБУЗ «Краевой детский центр медицинской реабилитации МЗКК».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Объём курортно-туристски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х услуг по крупным и средним организациям города Краснодара по итогам 2025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 года составил более 3,0 миллиардов рублей. 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Участие в опросе приняли 1292 представителя </w:t>
      </w:r>
      <w:r>
        <w:rPr>
          <w:rFonts w:ascii="Times New Roman" w:hAnsi="Times New Roman"/>
          <w:sz w:val="28"/>
          <w:szCs w:val="28"/>
          <w:highlight w:val="white"/>
        </w:rPr>
        <w:t xml:space="preserve">санаторно-курортного комплекса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Большинство хозяйствующих субъектов из числа опрошенных, осуществляющих деятельность на рынке </w:t>
      </w:r>
      <w:r>
        <w:rPr>
          <w:rFonts w:ascii="Times New Roman" w:hAnsi="Times New Roman"/>
          <w:sz w:val="28"/>
          <w:szCs w:val="28"/>
          <w:highlight w:val="white"/>
        </w:rPr>
        <w:t xml:space="preserve">санаторно-курортных и туристических услуг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, счита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ют, что конкуренция в этой сфере «умеренная» и «слабая» для сохранения рыночной позиции их бизнеса необходимо изредка применять новые способы повышения конкурентоспособности предлагаемых услуг. Пятая часть респондентов считает, что конкуренция в этой сфере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отсут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ствует, при этом около 20% из них указали, что расширению из бизнеса препятствуют следующие факторы: высокие начальные издержки, нехватка финансовых средств, невозможность быстрого достижения необходимых масштабов деятельности, обеспечивающих прибыльность.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left="720"/>
        <w:spacing w:before="0" w:after="0" w:line="276" w:lineRule="auto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800"/>
        <w:ind w:left="720"/>
        <w:spacing w:before="0" w:after="0" w:line="276" w:lineRule="auto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Рынок спортивных услуг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800"/>
        <w:ind w:firstLine="720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По состоянию на 01.01.2026 спортивная инфраструктура краевого центра включает 3502 спортивных сооружения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(по состоянию на 01.01.2025 – 2655 спортивных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сооружений)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Уровень обеспеченности населения спортивными сооружениями составляет 62,54%, единовременная пропускная способность спортивных сооружений  - 109,3 тысячи человек.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20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 городе 47 учреждений спортивной направленности, осуществляющие программы спортивной подготовки, в которых занимаются 33849 человек, а также зарегистрировано 213 спортивных организаций и фитнесс-клубов, относящихся к субъектам малого предпринимательства.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600"/>
        <w:jc w:val="both"/>
        <w:spacing w:before="0" w:after="0" w:line="276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Рыночная востребованность физкультурно-спортивных услуг во многом определяется: ценой услуги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; уровнем организации и культуры процесса предоставления физкультурно-спортивных услуг; продолжительностью и графиком занятий; характером клиентуры; уровнем квалификации тренерско-преподавательского коллектива; качеством обучения, обеспечиваемого тренером.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ind w:firstLine="600"/>
        <w:jc w:val="both"/>
        <w:spacing w:before="0" w:after="0" w:line="276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Конкурентная среда на рынке спортивных услуг включает в себя множество организаций, способных быстро адаптироваться к изменению спроса и своевременно обновлять свой ассортиментный ряд.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Участие в опросе приняли 1327 представителей рынка </w:t>
      </w:r>
      <w:r>
        <w:rPr>
          <w:rFonts w:ascii="Times New Roman" w:hAnsi="Times New Roman"/>
          <w:sz w:val="28"/>
          <w:szCs w:val="28"/>
          <w:highlight w:val="white"/>
        </w:rPr>
        <w:t xml:space="preserve">спортивных услуг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Респонденты в подавляющем большинстве (79%) указали на наличие конкуренции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на рынке физической культуры и спорта, их мнения разделились в отношении оценки её уровня. При этом, для повышения конкурентоспособности своих услуг большинству участников анкетирования, помимо предложения их дополнительных видов, приходилось снижать цену.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ИНДИВИДУАЛЬНЫЕ РЫНКИ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ab/>
      </w: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</w:p>
    <w:p>
      <w:pPr>
        <w:pStyle w:val="800"/>
        <w:contextualSpacing/>
        <w:ind w:firstLine="709"/>
        <w:spacing w:before="0" w:after="0" w:line="276" w:lineRule="auto"/>
        <w:tabs>
          <w:tab w:val="clear" w:pos="708" w:leader="none"/>
          <w:tab w:val="left" w:pos="993" w:leader="none"/>
          <w:tab w:val="left" w:pos="1134" w:leader="none"/>
        </w:tabs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Рынок пищевой продукции</w:t>
      </w: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На территории муниципального образования город Краснодар осуществляют деятельность </w:t>
      </w:r>
      <w:r>
        <w:rPr>
          <w:rFonts w:ascii="Times New Roman" w:hAnsi="Times New Roman"/>
          <w:sz w:val="28"/>
          <w:highlight w:val="white"/>
        </w:rPr>
        <w:t xml:space="preserve">т</w:t>
      </w:r>
      <w:r>
        <w:rPr>
          <w:rFonts w:ascii="Times New Roman" w:hAnsi="Times New Roman"/>
          <w:sz w:val="28"/>
          <w:highlight w:val="white"/>
        </w:rPr>
        <w:t xml:space="preserve">а</w:t>
      </w:r>
      <w:r>
        <w:rPr>
          <w:rFonts w:ascii="Times New Roman" w:hAnsi="Times New Roman"/>
          <w:sz w:val="28"/>
          <w:highlight w:val="white"/>
        </w:rPr>
        <w:t xml:space="preserve">к</w:t>
      </w:r>
      <w:r>
        <w:rPr>
          <w:rFonts w:ascii="Times New Roman" w:hAnsi="Times New Roman"/>
          <w:sz w:val="28"/>
          <w:highlight w:val="white"/>
        </w:rPr>
        <w:t xml:space="preserve">и</w:t>
      </w:r>
      <w:r>
        <w:rPr>
          <w:rFonts w:ascii="Times New Roman" w:hAnsi="Times New Roman"/>
          <w:sz w:val="28"/>
          <w:highlight w:val="white"/>
        </w:rPr>
        <w:t xml:space="preserve">е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организации пищев</w:t>
      </w:r>
      <w:r>
        <w:rPr>
          <w:rFonts w:ascii="Times New Roman" w:hAnsi="Times New Roman"/>
          <w:sz w:val="28"/>
          <w:highlight w:val="white"/>
        </w:rPr>
        <w:t xml:space="preserve">ой и перерабатывающей промышленности, как АО «Комбина</w:t>
      </w:r>
      <w:r>
        <w:rPr>
          <w:rFonts w:ascii="Times New Roman" w:hAnsi="Times New Roman"/>
          <w:sz w:val="28"/>
          <w:highlight w:val="white"/>
        </w:rPr>
        <w:t xml:space="preserve">т «Дары Кубани», ООО «Кубань-Дарусс», Филиал №1 ЗАО МПБК «Очаково», АО «Краснодарский хлебозавод № 6», ОАО «Масложиркомбинат «Краснодарский» ГК «Юг Руси», ООО «Кондитерская Фабрика «Любимая Кубань», ООО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Кубанское мясоперерабатывающее предприятие «Анрик» и другие.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Объём производства пищевых продуктов крупными и средними предприятиями города в 2025 году составил 45,7 млрд рублей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.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Доля предприятий пищевой промышленности в общем объёме отгруженных товаров предприятий обрабатывающих производств (по кругу крупных и средних организаций) составила 38,4%.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Ситуация на рынке пищевой продукции отражает общине тенденции развития промышленного комплекса муниципального образования.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Для решения задачи повышения конкурентоспособности продукции предприятий пищевой промышленности, создания условий для обеспечения импортозамещения в отношении социально значимых продуктов питания и наращивания экспортного потенциала необходимо: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техническое перевооружение предприятий, дальнейшее внедрение новых технологий; </w:t>
      </w:r>
      <w:r>
        <w:rPr>
          <w:rFonts w:ascii="Times New Roman" w:hAnsi="Times New Roman"/>
          <w:sz w:val="28"/>
          <w:szCs w:val="28"/>
          <w:highlight w:val="white"/>
        </w:rPr>
        <w:t xml:space="preserve">создание и внедрение в производство новых упаковочных материалов, продлевающих срок годности продукции; </w:t>
      </w:r>
      <w:r>
        <w:rPr>
          <w:rFonts w:ascii="Times New Roman" w:hAnsi="Times New Roman"/>
          <w:sz w:val="28"/>
          <w:szCs w:val="28"/>
          <w:highlight w:val="white"/>
        </w:rPr>
        <w:t xml:space="preserve">подготовка современного квалифицированного персонала с учётом требований инновационной экономики.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highlight w:val="white"/>
          <w:shd w:val="clear" w:color="auto" w:fill="ffffff"/>
        </w:rPr>
        <w:t xml:space="preserve">Рынок услуг общественного питания</w:t>
      </w:r>
      <w:r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ffffff"/>
        </w:rPr>
      </w:r>
    </w:p>
    <w:p>
      <w:pPr>
        <w:pStyle w:val="800"/>
        <w:ind w:firstLine="709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Общедоступная сеть предприятий общественного питания муниципального образования город Краснодар на 01.01.2026 – это 1,5 тысячи предприятий на 70 тысяч посадочных мест.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Количество крупных и средних хозяйствующих субъектов общественного питания в городе составляет более 40 единиц. В 2026 году их оборот составил 15,4 млрд рублей.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Популярным, востребованным и доступным видом общественного питания является Fast-food.  Сеть быстрого питания представлена как ст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ационарными объектами (рестораны компаний «Вкусно и точка», «Ростикс», «Печка», различные пиццерии), так и предприятиями мелкорозничного фаст-фуда, специализирующимися на изготовлении шаурмы, «хот-догов», реализации блинов, пончиков, пирожков, гамбургеров.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/>
          <w:lang w:eastAsia="ru-RU"/>
        </w:rPr>
        <w:t xml:space="preserve">В условиях растущей конкуренции и поиска новых более эффективных методов обслужив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/>
          <w:lang w:eastAsia="ru-RU"/>
        </w:rPr>
        <w:t xml:space="preserve">ания населения распространение получили такие формы, как организация бизнес-ланчей, реализация готовой продукции через отделы кулинарии, «кейтеринг» с приглашением профессиональных менеджеров для проведения банкетов, фуршетов, свадеб и других мероприятий.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последние годы борьба за потреб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ителя на рынке общественного питания идёт не только на уровне качества или цены услуг, а на уровне возможностей компании предложить воплощенное в услугах новое потребительское свойство. Практически все представители сферы общественного питания города предп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ринимают различные меры для повышения конкурентоспособности производимой продукции, работ, услуг. Чаще всего это: сокращение затрат на производство (реализацию) продукции, новые способы продвижения продукции, развитие и расширение системы представительств.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Рынок бытового обслуживания населения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Краснодар сохраняет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 лидерство в крае по развитию предприятий бытового обслуживания. По состоянию на 01.01.2026 на территории муниципального образования город Краснодар осуществляют деятельность 3770 объектов бытовых услуг.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Объём бытовых услуг населению по кругу крупных и средних организаций в оценке 2025 года составляет более 4,0 миллиардов рублей.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Сфера бытового обслуживания Краснодара – это: парикмахерские и салоны красоты; мастерские по ремонту одежды, обуви, бытовой техники, оргтехники, телерадиоаппаратуры, сотовых телефонов; бани и сауны; химчистки и прачечные; фотоателье; автомойки и другие.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В течение последних лет наблюдается стабильный рост объёмов реализации услуг, расширение сети предприятий и перечня оказываемых услуг. </w:t>
      </w:r>
      <w:r>
        <w:rPr>
          <w:rFonts w:ascii="Times New Roman" w:hAnsi="Times New Roman"/>
          <w:sz w:val="28"/>
          <w:szCs w:val="28"/>
          <w:highlight w:val="white"/>
        </w:rPr>
        <w:t xml:space="preserve">Рынок бытового обслуживания населения муниципального образования город Краснодар является полностью негосударственным и характеризуется высоким уровнем конкуренции. </w:t>
      </w:r>
      <w:r>
        <w:rPr>
          <w:rFonts w:ascii="Times New Roman" w:hAnsi="Times New Roman"/>
          <w:sz w:val="28"/>
          <w:szCs w:val="28"/>
          <w:highlight w:val="white"/>
        </w:rPr>
        <w:t xml:space="preserve">Дальнейшее развитие конкуренции на рынке бытового обслуживания населения будет способствовать повышению качественного уровня оказываемых услуг и удовлетворению запросов населения.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ind w:left="720"/>
        <w:spacing w:before="0" w:after="0" w:line="276" w:lineRule="auto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Рынок объектов придорожного сервиса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800"/>
        <w:ind w:left="0" w:right="0" w:firstLine="720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Вдоль трасс, проходящих по территории муниципального образования город Краснодар, в 2025 году функционировало более 300 объектов потребительской сферы (гостиницы, объекты торговли, предприятия общественного питания, связи, медицинской помощи, СТО, АЗС). 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20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 муниципальном образовании город Кра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снодар регулярно проводятся обследования состояния объек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тов потребительской сферы, относящихся к инфраструктуре придорожного сервиса федеральных и региональных трасс, проходящих по территории муниципального образования город Краснодар, по вопросу санитарного состояния предприятий и прилегающих к ним территорий.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ind w:firstLine="720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Особое внимание на данном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рынке уделяется строгому выполнению Правил благоустройства на территории муниципального образования город Краснодар, в том числе недопущению размещения несанкционированных рекламных конструкций, штендеров, автомобильных покрышек на прилегающей территории.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ind w:firstLine="720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Рынок услуг в сфере культуры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Базовым ресурсом, на основе которого оказываются услуги в сфере культуры и искусства на территории города Краснодара, являются детские школы искусств и художественные школы, культурно-досуговые учреждения, библиотеки, театрально-концертные учреждения.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На территории города осуществляют деятельность 13 культурно-досуговых учреждений; 18 организаций дополнительного образования детей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; МУК ЦБС города Краснодара; Краснодарское муниципальное творческое объединение «Премьера». Кроме того, в сфере культуры осуществляют деятельность ряд коммерч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еских организаций различной направленности (субъекты малого предпринимательства).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 2025 году контингент обучающихся учреждений дополнительного образования детей сферы «культура» вырос до 13737 человек против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13349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человека в 2024 году, или на 2,9%.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Количество проведенных массовых и культурно-досуговых мероприятий за 2025 год составило 4149 единиц, в которых приняли участие более 1,9 миллиона краснодарцев.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Конкуренция в сфере культуры носит особый характер. Предлагаемые в сфере культуры «продукты» уникальны, п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оэтому учреждения культуры не взаимозаменяемы — они скорее дополняют друг друга. Конкуренция в культурной сфере возникает и м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ежду объектами, не обладающими свойствами взаимозаменяемости. Подобное соперничество основано на конкуренции самих потребностей. Ин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тересам потребителей и общества в целом в наибольшей мере отвечает конкуренция качества.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 связи с высокой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востребованностью услуг организаций дополнительного образования отрасли «культура» в 2025 году продолжена работа по открытию новых учебных площадок. 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ткрыты ДШИ № 6 МО город Краснодар, ДХШ им. В.А.Филиппова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на базе СОШ № 108 и СОШ № 70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ab/>
        <w:t xml:space="preserve">Учитывая динамику развития территории муници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пального образования город Краснодар, необходимо строительство новых учреждений дополнительного образования отрасли «культура», открытие новых учебных площадок и создание новых учебных мест, особенно во вновь возводящихся и густонаселённых районах города.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left="720"/>
        <w:spacing w:before="0" w:after="0" w:line="276" w:lineRule="auto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800"/>
        <w:ind w:left="720"/>
        <w:spacing w:before="0" w:after="0" w:line="276" w:lineRule="auto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Рынок театрально-концертного обслуживания населения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Рынок театрально-концертных услуг – это совокупность существующих и по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тенциальных потребителей с соответствующими запросами и интересами, потребляющими данные услуги с целью приобщения к миру культуры и искусства.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муниципальном образовании город Краснодар на рынке театрально-концертного обслуживания населения функционируют 2 концертные организации, 5 театров, Кр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аснодарский государственный цирк (закрыт на ремонт).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Кроме того, в этой сфере осуществляют деятельность субъекты малого предпринимательства, в том числе Ассоциация театральных деятелей «Один театр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», Детский камерный театр «Сказкино» и другие. В едином реестре субъектов малого и среднего предпринимательства на те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рритории муниципального образования город Краснодар зарегистрирована 91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организация в сфере театра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льно-концертного обслуживания населения.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ind w:firstLine="720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 2025 году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проведено 1006 концертных мероприятий (в 2024 году - 1030, в 2023 году – 971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). Выступления творческих коллективов посетили 393,0 тысячи зрителей (в 2024 году - 350,2 тысячи зрителей, в 2023 году – 251,2 тысячи зрителей).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Рынок театрально-концертного обслуживания населения муниципального образования город Краснодар относится к рынку с недостаточно развитым уровнем конкуренции, так как на нём нет двух мероприятий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 близких заменителей. Конкурентную среду образует развивающийся в городе сегмент рынка, связанный с предоставлением услуг на основе индивидуального предпринимательства. 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Основным фактором конкурентоспособности представителей рынка театрально-концертного обслуживания населения является низкая цена услуг. 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r>
    </w:p>
    <w:p>
      <w:pPr>
        <w:pStyle w:val="800"/>
        <w:ind w:firstLine="708"/>
        <w:spacing w:before="0" w:after="0" w:line="276" w:lineRule="auto"/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fffff"/>
        </w:rPr>
      </w:r>
    </w:p>
    <w:p>
      <w:pPr>
        <w:pStyle w:val="800"/>
        <w:ind w:firstLine="708"/>
        <w:spacing w:before="0" w:after="0" w:line="276" w:lineRule="auto"/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fffff"/>
        </w:rPr>
        <w:t xml:space="preserve">Рынок экскурсионного обслуживания населения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fffff"/>
        </w:rPr>
      </w:r>
    </w:p>
    <w:p>
      <w:pPr>
        <w:pStyle w:val="800"/>
        <w:ind w:firstLine="709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На тер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ритории муниципального образования город Краснодар осуществляют деятельность 15 туристических фирм, оказывающих экскурсионные услуги. Они презентуют более 65 туристско-экскурсионных продуктов, а также МБУ «Туристско-информационный центр города Краснодара».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9"/>
        <w:jc w:val="both"/>
        <w:spacing w:before="0" w:after="0" w:line="276" w:lineRule="auto"/>
        <w:shd w:val="clear" w:color="auto" w:fill="ffffff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Туристско-информационным центром города Краснодара в 2025 году разработано 5 новых экскурсионных программ;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проведено 55 мероприятий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, в которых приняли участи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е 11406 человек.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Количество посещений интернет-портала МБУ «ТИЦ» в 2025 году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составило 235537 человек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(в 2024 году - 111064 человека, в 2023 году - 25245 человек).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Рынок экскурсионного обслуживания населения является частью санаторно-курортного компле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кса города и отражает его общие тенденции развития.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Уровень кон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куренции на рынке туристско-экскурсионных услуг города Краснодара довольно высок. Определяющим фактором конкурентоспособности в отрасли туризма является привлекательность туристического продукта и его дифференцированность по сегментам туристического рынка.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Туристско-экскурсионные 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организации Краснодара предлагают жителям и гостям города различные виды туризма 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комбинируют услуги непосредственных производителей: музеев, транспортных, зрелищных и других организаций по усмотрению фирмы и по желанию потребителей, являясь туроператорами на рынке туристских услуг.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Р</w:t>
      </w:r>
      <w:r>
        <w:rPr>
          <w:rFonts w:ascii="Times New Roman" w:hAnsi="Times New Roman"/>
          <w:sz w:val="28"/>
          <w:szCs w:val="28"/>
          <w:highlight w:val="white"/>
        </w:rPr>
        <w:t xml:space="preserve">азнообразный спектр услуг, подход к покупателю и возможность для дальнейшего развития являются ключевыми моментами для улучшения конкурентной среды на рынке.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r>
    </w:p>
    <w:p>
      <w:pPr>
        <w:pStyle w:val="800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Рынок финансовых услуг</w:t>
      </w: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По состоянию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на 01.01.2026 на территории города Краснодара представляют банковские услуги 54 кредитные организации, расположено 220 банковских офисов; установлен 1646 банкоматов, размещено 80,0 тысяч электронных терминалов и 2,5 ты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сячи касс банковских платёжных агентов.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Краснодар имеет наивысший показатель обеспеченности граждан элементами банковской инфраструктуры среди всех городов в ЮФО.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На территории муниципального образования город Краснодар функционируют 52 страховых организации. 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последние годы сфера банк</w:t>
      </w:r>
      <w:r>
        <w:rPr>
          <w:rFonts w:ascii="Times New Roman" w:hAnsi="Times New Roman"/>
          <w:sz w:val="28"/>
          <w:highlight w:val="white"/>
        </w:rPr>
        <w:t xml:space="preserve">овского обслуживания в Краснодаре быстро развивается. Конкуренция м</w:t>
      </w:r>
      <w:r>
        <w:rPr>
          <w:rFonts w:ascii="Times New Roman" w:hAnsi="Times New Roman"/>
          <w:sz w:val="28"/>
          <w:highlight w:val="white"/>
        </w:rPr>
        <w:t xml:space="preserve">ежду банками является закономерностью. </w:t>
      </w:r>
      <w:r>
        <w:rPr>
          <w:rFonts w:ascii="Times New Roman" w:hAnsi="Times New Roman"/>
          <w:sz w:val="28"/>
          <w:highlight w:val="white"/>
        </w:rPr>
        <w:t xml:space="preserve">Поэтому для успешной работы в муниципальном образовании банки вынуждены выходить на очень высокую сферу обслуживания и любыми путями увеличивать спектр выполняемых услуг. Отделения банков постоянно усовершенствуют свои услуги. 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Лидерами рынка банковских услуг остаются: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Краснодарское отделение ПАО Сбербанк,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Филиал ВТБ ПАО в г. Краснодаре,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ОО «Краснодарский» АО «Альфа-Банк»,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Коммерческий банк «Кубань Кредит» ООО,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Краснодарский региональный филиал АО «Россельхозбанк»,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Филиал «Газпромбанк» (АО) «Южный»,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Филиал «Южный» ПАО «БАНК УРАЛСИБ», ПАО КБ «Центр-инвест».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Лидерами страхового рынка Краснодара по объёмам страховых премий являются: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АО «СОГАЗ»,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АО «АльфаСтрахование»,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ООО СК «Сбербанк страхование жизни»,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САО «ВСК», ПАО САК «Энергогарант», «ВТБ Страхование».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9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Главным фактором конкурентоспособности оказываемых финансовыми структурами услуг является их высокое качество и предложение сопутствующих услуг, товаров, сервисов.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Так, 86% опрошенных предпринимателей указали, что в городе доступны все виды базовых</w:t>
      </w:r>
      <w:r>
        <w:rPr>
          <w:rFonts w:ascii="Times New Roman" w:hAnsi="Times New Roman"/>
          <w:sz w:val="28"/>
          <w:highlight w:val="white"/>
        </w:rPr>
        <w:t xml:space="preserve"> финансовых услуг (платежные услуги, кредитован</w:t>
      </w:r>
      <w:r>
        <w:rPr>
          <w:rFonts w:ascii="Times New Roman" w:hAnsi="Times New Roman"/>
          <w:sz w:val="28"/>
          <w:highlight w:val="white"/>
        </w:rPr>
        <w:t xml:space="preserve">ие, страхование, вклады, сбережения). Респонденты также оценили удовлетворенность качеством финансовых услуг. Максимальные оценки были поставлены таким видам финансовых услуг, как кредитование, ипотека, кредитные карты (93%), вклад</w:t>
      </w:r>
      <w:r>
        <w:rPr>
          <w:rFonts w:ascii="Times New Roman" w:hAnsi="Times New Roman"/>
          <w:sz w:val="28"/>
          <w:highlight w:val="white"/>
        </w:rPr>
        <w:t xml:space="preserve">ы и сбережения (93,5%).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Наиболее востребованными финансовыми услугами у населения по результатам опроса являются: онлайн-кредит в банке (имелся в отчетном году у 48,3%) и использование кредитного лимита по кредитной карте (пользовались в отчетном году 65%).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Рынок химической промышленности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Химическая промышленность Краснодара – прогрессивная, быстро развивающаяся отрасль, обеспечивающая многие</w:t>
      </w:r>
      <w:r>
        <w:rPr>
          <w:rFonts w:ascii="Times New Roman" w:hAnsi="Times New Roman"/>
          <w:sz w:val="28"/>
          <w:highlight w:val="white"/>
        </w:rPr>
        <w:t xml:space="preserve"> отрасли промышленности и сельское хозяйство сырьем, социально-ориентированной продукцией.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отрасли осуществляют деятельность такие производители химических веществ и химических продуктов, как ООО «Медлекспром», ООО «НПП «Флореаль», ООО «Юнитполимер», ОАО «Аванта», ООО «Алва» и другие. 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В 2025 году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крупными и средними предприятиями, занятыми в химическом производстве, отгружено продукции на сумму 4,6 млрд рублей.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Доля предприятий химической промышленности в общем объёме отгруженных товаров предприятий обрабатывающих производств (по кругу крупных и средних организаций) составила </w:t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3,9%.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Ситуация на рынке пищевой продукции отражает общине тенденции развития промышленного комплекса муниципального образования.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Основной составляющей конкурентоспособности продукции предприятий химической промышленности муниципального образования является её уникальность.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Продукция краснодарских предприятий химической промышленности пользуется популярностью не только в муниципальном образовании, но и на рынках Краснодарского края и других субъектов Российской Федерации. Для повышения её конкурентоспособности каждый с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убъект рынка принимает определённые меры: обучение и переподготовка персонала, сокращение затрат на производство продукции, приобретение технологий, патентов, лицензий, ноу-хау, разработка новых модификаций производимой продукции, расширение ассортимента.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Рынок нефтепродуктов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Рынок нефтепродуктов муниципально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го образования остается стабильной и инвестиционно привлекательной отраслью экономики города. Он представлен крупными организации частной формы собственности, а также мелкими частными предпринимателями и фирмами, осуществляющими реализацию нефтепродуктов.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Крупнейшие предприятия рынка: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ООО «ЛУКОЙЛ-Югнефтепрод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укт»; п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редприятие нефтепродуктообеспечения ПАО «НК «Роснефть» – Кубаньнефтепродукт»;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ЗАО «Краснодарский нефтеперерабатывающий завод – Краснодарэко-нефть»;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ООО «Газпром нефть-центр».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Количество предприятий, реализующих моторное топливо через автозаправочные станции и комплексы, составляет около 150 единиц.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shd w:val="clear" w:color="auto" w:fill="ffffff"/>
        <w:tabs>
          <w:tab w:val="clear" w:pos="708" w:leader="none"/>
          <w:tab w:val="left" w:pos="709" w:leader="none"/>
        </w:tabs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В настоящее время на топливном рынке России представлено достаточное количество крупных игроков, предлагающих качественное топливо по схожим ценам.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Современная рыночная ориентация предприятий неф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тепродукто-обеспечения на поддержание своей конкурентоспособности, необходимость повышения эффективности системы управления, организации добычи нефти, производства и реализации продуктов нефтепереработки, обусловили бурное развитие предпринимательства в да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нной сфере экономики. 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r>
    </w:p>
    <w:p>
      <w:pPr>
        <w:pStyle w:val="800"/>
        <w:ind w:firstLine="709"/>
        <w:jc w:val="both"/>
        <w:spacing w:before="0" w:after="0"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Рынок креативных индустрий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</w:p>
    <w:p>
      <w:pPr>
        <w:pStyle w:val="800"/>
        <w:ind w:firstLine="720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Креативные индустрии сегодня являются одним из самых быстрорастущих секторов экономики и наиболее привлекательным сегментом для инвестиций.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Рынок кредитивных индустрий в краевом центре представлен как частными, так и государственными предприятиями: ООО «ИТМ», ООО «НСТ», ООО «Плариум-юг», ГУП КК «ЦИТ», АО «Энергосервис Кубани», филиал АО «Нэксайн», ООО «НК «Роснефть-ННЦ» и другими.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Объём отгруженной продукции собственного производства, выполненных работ и услуг собственными силами крупных и средних организаций рынка креативных индустрий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в 2025 году составил 60,2 млрд рублей.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Рынок креативных индустрий является рынком с высоким уровнем конкуренции,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производимые на нём товары являются конкурентоспособными ввиду их уникальности, но для повышения конкурентоспособности продукции необходимо сокращать затраты на её производство.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ind w:firstLine="720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Барьеры ведения предпринимательской деятельности и действия органов власти на рынке креативных индустрий также имеют место быть. К проблемам развития конкуренции на рынке креативных индустрий следует отнести следующие факторы: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предпочтение импорта,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неразвитое профессион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альное образование и дефицит кадров,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вопрос защиты авторских прав.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ind w:firstLine="720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Для решения вышеуказанных проблем необходимо: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принятие мер государственной поддержки отрасли;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привлечение инвесторов для развития собственного креативного потенциала;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создание предпосылок для творческого развития молодежи, формирования новых объектов образовательной инфраструктуры;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благоустройство городской среды, предполагающей создание в ней разнообразных публичных пространств.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ind w:firstLine="708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1.2. Мониторинг удовлетворенности потребителей качеством товаров, работ, услуг на товарных рынках муниципального образования и состоянием ценовой конкуренции.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Анализ результатов социологического опроса граждан муниципального образования город Краснодар показал следующее.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2025 году в ежегодном анкетировании приняли участие 33,3 тысячи граждан. Состояние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конкуренции и характеристики товаров и услуг на рынках муниципального образования город Краснодар оценивали 11,4 тысячи женщин и 21,9 тысячи мужчин. Наибольший удельный вес в числе опрошенных, как и в предыдущие годы, занимают работающие граждане (94,6%).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Среднемесячный доход на одного члена семьи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Cs w:val="28"/>
          <w:highlight w:val="white"/>
        </w:rPr>
      </w:pPr>
      <w:r>
        <w:rPr>
          <w:rFonts w:ascii="Times New Roman" w:hAnsi="Times New Roman" w:eastAsia="Times New Roman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Cs w:val="28"/>
          <w:highlight w:val="white"/>
        </w:rPr>
      </w:r>
      <w:r>
        <w:rPr>
          <w:rFonts w:ascii="Times New Roman" w:hAnsi="Times New Roman" w:eastAsia="Times New Roman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Половина опрошенных указала, что ежемесячные доходы на одного члена семьи составляют более 30,0 тысяч рублей.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Респонденты оценили количество организаций города в экономической, социальной сферах и сфере услуг.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подавляющем большинстве участники опроса считают, что, в основном, на рынках представлено достаточное количество организаций. Исключение составляют социальная сфера и санаторно-курортный комплекс.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highlight w:val="white"/>
        </w:rPr>
        <w:drawing>
          <wp:inline distT="0" distB="0" distL="0" distR="0">
            <wp:extent cx="6097927" cy="2121935"/>
            <wp:effectExtent l="4762" t="4762" r="4762" b="4762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Участники анкетирования оценили соотношение уровня цен и качества продукции и услуг на товарных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рынках муниципального образования. Важным показателем оценки характеристик товаров и услуг на товарных рынках является удовлетворенность потребителей. Удовлетворённость складывается под влиянием воспринимаемого потребителями качества услуг и их стоимости.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highlight w:val="white"/>
        </w:rPr>
        <w:drawing>
          <wp:inline distT="0" distB="0" distL="0" distR="0">
            <wp:extent cx="6115367" cy="1933914"/>
            <wp:effectExtent l="4762" t="4762" r="4762" b="4762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Больше всего респонденты удовлетворены стоимостью и качеством услуг организаций торговли и услуг населению, а также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качеством продукции промышленного и агропромышленного комплекса города. Наименьшую удовлетворённость у потребителей вызывает качество услуг организаций здравоохранения и санаторно-курортного комплекса.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highlight w:val="white"/>
        </w:rPr>
        <w:drawing>
          <wp:inline distT="0" distB="0" distL="0" distR="0">
            <wp:extent cx="6115367" cy="2037300"/>
            <wp:effectExtent l="4762" t="4762" r="4762" b="4762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Возможностью выбора товаров, работ и услуг на рынках муниципального образования удовлетворено подавляющее большинство опрошенных.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Наименее доступными потребители считают услуги организаций социальной сферы и здравоохранения.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Благоприятная ситуация со стоимостью и качеством услуг, а также возможностью выбора, исходя из преобладающей доли положите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льных оценок респондентов повлияла и на количество обращений потребителей в надзорные органы за защитой своих прав и решение вопросов там. Так, в 2025 году 3/4 опрошенных жителей указали, что не обращались с жалобами в надзорные органы за защитой своих п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отребительских прав. Кроме того, подавляющее большинство жителей – участников опроса отметили, что в течение последних трёх лет уровень цен изменился в сторону увеличения, в отношении качества и доступности товаров и услуг мнения респондентов неоднозначны.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1.3. Мониторинг удовлетворенности субъектов предпринимательской деятельности и потребителей товаров, работ, услуг качеством официальной информации о состоянии конкуренции на товарных рынках муниципального образования город Краснодар.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настоящее время предприниматели наряду с учёными и специалистами (прежде всего юристами, врачами, преподавателями) и учащимися выступают основным потребителем информационных усл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уг и продуктов, а сфера бизнеса –  важнейшим и самым большим по объёму сектором информационного рынка. Привлекательность данного рынка с точки зрения спроса сделала информационное обеспечение бизнеса одной из приоритетных задач информационной деятельности.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Кроме того, мировая практика последних десятилетий показала, что информация в электрон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ной форме превратилась в важнейший компонент современной рыночной инфраструктуры. Чтобы информационный продукт был востребованным, информация должна быть ценной, качественной, хорошо оформленной и помогающей людям решить их какие-либо конкретные проблемы.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Так, часть пред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ставителей бизнеса – участников анкетирования указали, каким источникам информации о состоянии конкурентной среды на рынках товаров и услуг Краснодарского края и деятельности по содействию развития конкуренции, доверяют больше всего и отдают предпочтение.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приоритете у ответивших для получения нужной им информации – сеть «Интернет».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Хозяйствующие субъекты, принявшие участие в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опросе,оценили качество и полноту официальной информации о состоянии конкурентной среды на рынках товаров и услуг Краснодарского края (количество участников, данные о перспективах развития конкретных рынков, барьеры входа на рынки) и деятельности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 содействию развитию конкуренции, размещаемой органом исполнительной власти Краснодарского края и администрацией муниципального образования город Краснодар в открытом доступе, по трём критериям: уровню доступности, уровню понятности и удобству получения.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Оценка качества официальной информации о состоянии конкурентной среды на рынках товаров и услуг Краснодарского края, размещаемой в открытом доступе, субъектами предпринимательской деятельности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</w:r>
      <w:r>
        <w:rPr>
          <w:highlight w:val="white"/>
        </w:rPr>
        <w:drawing>
          <wp:inline distT="0" distB="0" distL="0" distR="0">
            <wp:extent cx="6115047" cy="1776262"/>
            <wp:effectExtent l="4762" t="4762" r="4762" b="4762"/>
            <wp:docPr id="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clear" w:pos="708" w:leader="none"/>
          <w:tab w:val="left" w:pos="883" w:leader="none"/>
          <w:tab w:val="left" w:pos="993" w:leader="none"/>
        </w:tabs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white"/>
        </w:rPr>
      </w:r>
    </w:p>
    <w:p>
      <w:pPr>
        <w:contextualSpacing/>
        <w:jc w:val="both"/>
        <w:spacing w:before="0" w:after="0" w:line="276" w:lineRule="auto"/>
        <w:tabs>
          <w:tab w:val="clear" w:pos="708" w:leader="none"/>
          <w:tab w:val="left" w:pos="883" w:leader="none"/>
          <w:tab w:val="left" w:pos="993" w:leader="none"/>
        </w:tabs>
        <w:rPr>
          <w:rFonts w:ascii="Times New Roman" w:hAnsi="Times New Roman" w:eastAsia="Times New Roman"/>
          <w:b w:val="0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white"/>
          <w:lang w:eastAsia="ru-RU"/>
        </w:rPr>
        <w:tab/>
        <w:t xml:space="preserve">Половина опрошенных предпринимателей поставили оценку «удовлетворительно» доступности, понятности и удобству получения информации о конкурентной среде, размещённой в открытом доступе.</w:t>
      </w:r>
      <w:r>
        <w:rPr>
          <w:rFonts w:ascii="Times New Roman" w:hAnsi="Times New Roman" w:eastAsia="Times New Roman"/>
          <w:b w:val="0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/>
          <w:b w:val="0"/>
          <w:bCs w:val="0"/>
          <w:i w:val="0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Оценка полноты размещённой уполномоченным органом исполнительной власти Краснодарского края информации о состоянии конкурентной среды на товарных рынках края и деятельности по содействию развитию конкуренции субъектами предпринимательской деятельности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Полноту размещённой уполномоченным органом исполнительной власти Краснодарского края инфор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мации о состоянии конкурентной среды на товарных рынках края и деятельности по содействию развитию конкуренции по 6 критериям также смогли оценить подавляющее большинство принявших участие в опросе представителей субъектов предпринимательской деятельности.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highlight w:val="white"/>
        </w:rPr>
        <w:drawing>
          <wp:inline distT="0" distB="0" distL="0" distR="0">
            <wp:extent cx="6115049" cy="1674102"/>
            <wp:effectExtent l="4762" t="4762" r="4762" b="4762"/>
            <wp:docPr id="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8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1583"/>
        <w:gridCol w:w="8054"/>
      </w:tblGrid>
      <w:tr>
        <w:tblPrEx/>
        <w:trPr/>
        <w:tc>
          <w:tcPr>
            <w:tcW w:w="1583" w:type="dxa"/>
            <w:textDirection w:val="lrTb"/>
            <w:noWrap w:val="false"/>
          </w:tcPr>
          <w:p>
            <w:pPr>
              <w:pStyle w:val="881"/>
              <w:spacing w:before="0" w:after="16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Критерий 1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054" w:type="dxa"/>
            <w:textDirection w:val="lrTb"/>
            <w:noWrap w:val="false"/>
          </w:tcPr>
          <w:p>
            <w:pPr>
              <w:pStyle w:val="877"/>
              <w:ind w:left="0" w:firstLine="0"/>
              <w:jc w:val="both"/>
              <w:spacing w:before="0" w:after="0" w:line="276" w:lineRule="auto"/>
              <w:widowControl/>
              <w:tabs>
                <w:tab w:val="left" w:pos="284" w:leader="none"/>
                <w:tab w:val="left" w:pos="426" w:leader="none"/>
                <w:tab w:val="clear" w:pos="708" w:leader="none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Доступность информации о нормативной базе, связанной с внедрением Стандарта в регионе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583" w:type="dxa"/>
            <w:textDirection w:val="lrTb"/>
            <w:noWrap w:val="false"/>
          </w:tcPr>
          <w:p>
            <w:pPr>
              <w:pStyle w:val="881"/>
              <w:spacing w:before="0" w:after="16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Критерий 2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054" w:type="dxa"/>
            <w:textDirection w:val="lrTb"/>
            <w:noWrap w:val="false"/>
          </w:tcPr>
          <w:p>
            <w:pPr>
              <w:pStyle w:val="877"/>
              <w:ind w:left="0" w:firstLine="0"/>
              <w:jc w:val="both"/>
              <w:spacing w:before="0" w:after="0" w:line="276" w:lineRule="auto"/>
              <w:widowControl/>
              <w:tabs>
                <w:tab w:val="left" w:pos="284" w:leader="none"/>
                <w:tab w:val="left" w:pos="426" w:leader="none"/>
                <w:tab w:val="clear" w:pos="708" w:leader="none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Доступность информации о перечне товарных рынков для содействия развитию конкуренции в регионе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583" w:type="dxa"/>
            <w:textDirection w:val="lrTb"/>
            <w:noWrap w:val="false"/>
          </w:tcPr>
          <w:p>
            <w:pPr>
              <w:pStyle w:val="881"/>
              <w:spacing w:before="0" w:after="16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Критерий 3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054" w:type="dxa"/>
            <w:textDirection w:val="lrTb"/>
            <w:noWrap w:val="false"/>
          </w:tcPr>
          <w:p>
            <w:pPr>
              <w:pStyle w:val="877"/>
              <w:ind w:left="0" w:firstLine="0"/>
              <w:jc w:val="both"/>
              <w:spacing w:before="0" w:after="0" w:line="276" w:lineRule="auto"/>
              <w:widowControl/>
              <w:tabs>
                <w:tab w:val="left" w:pos="284" w:leader="none"/>
                <w:tab w:val="left" w:pos="426" w:leader="none"/>
                <w:tab w:val="clear" w:pos="708" w:leader="none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Предоставление возможности прохождения электронных анкет, связанных с оценкой удовлетворенности предпринимателей и потребителей состоянием конкурентной среды региона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583" w:type="dxa"/>
            <w:textDirection w:val="lrTb"/>
            <w:noWrap w:val="false"/>
          </w:tcPr>
          <w:p>
            <w:pPr>
              <w:pStyle w:val="881"/>
              <w:spacing w:before="0" w:after="16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Критерий 4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054" w:type="dxa"/>
            <w:textDirection w:val="lrTb"/>
            <w:noWrap w:val="false"/>
          </w:tcPr>
          <w:p>
            <w:pPr>
              <w:pStyle w:val="877"/>
              <w:ind w:left="0" w:firstLine="0"/>
              <w:jc w:val="both"/>
              <w:spacing w:before="0" w:after="0" w:line="276" w:lineRule="auto"/>
              <w:widowControl/>
              <w:tabs>
                <w:tab w:val="left" w:pos="284" w:leader="none"/>
                <w:tab w:val="left" w:pos="426" w:leader="none"/>
                <w:tab w:val="clear" w:pos="708" w:leader="none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Обеспечение доступности «дорожной карты» региона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583" w:type="dxa"/>
            <w:textDirection w:val="lrTb"/>
            <w:noWrap w:val="false"/>
          </w:tcPr>
          <w:p>
            <w:pPr>
              <w:pStyle w:val="881"/>
              <w:spacing w:before="0" w:after="16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Критерий 5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054" w:type="dxa"/>
            <w:textDirection w:val="lrTb"/>
            <w:noWrap w:val="false"/>
          </w:tcPr>
          <w:p>
            <w:pPr>
              <w:pStyle w:val="877"/>
              <w:ind w:left="0" w:firstLine="0"/>
              <w:jc w:val="both"/>
              <w:spacing w:before="0" w:after="0" w:line="276" w:lineRule="auto"/>
              <w:widowControl/>
              <w:tabs>
                <w:tab w:val="left" w:pos="284" w:leader="none"/>
                <w:tab w:val="left" w:pos="426" w:leader="none"/>
                <w:tab w:val="clear" w:pos="708" w:leader="none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Доступность информации о проведенных обучающих мероприятиях для органов местного самоуправления региона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583" w:type="dxa"/>
            <w:textDirection w:val="lrTb"/>
            <w:noWrap w:val="false"/>
          </w:tcPr>
          <w:p>
            <w:pPr>
              <w:pStyle w:val="881"/>
              <w:spacing w:before="0" w:after="16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Критерий 6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054" w:type="dxa"/>
            <w:textDirection w:val="lrTb"/>
            <w:noWrap w:val="false"/>
          </w:tcPr>
          <w:p>
            <w:pPr>
              <w:pStyle w:val="877"/>
              <w:ind w:left="0" w:firstLine="0"/>
              <w:jc w:val="both"/>
              <w:spacing w:before="0" w:after="0" w:line="276" w:lineRule="auto"/>
              <w:widowControl/>
              <w:tabs>
                <w:tab w:val="left" w:pos="284" w:leader="none"/>
                <w:tab w:val="left" w:pos="426" w:leader="none"/>
                <w:tab w:val="clear" w:pos="708" w:leader="none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Доступность информации о проведенных мониторингах в регионе и сформированном ежегодном докладе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709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 результатам мониторинга 2025 года половина представителей бизне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са дали высокую оценку полноте размещаемой уполномоченным органом исполнительной власти региона информации, касающейся состояния конкурентной среды и деятельности по содействию конкуренции, указав, что удовлетворены характеристиками размещённой информации.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Как правило, каждый потребитель одновременно использует информационные источники в различных формах.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Опрошенные потребители, как и предприниматели, наибольшее предпочтение отдали информации в информационно-коммуникационной сети «Интернет».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Качество официальной информации, размещаемой в открытом доступе, по критериям «уровень доступности», «уровень понятности» и «удобство получения» оценили более 63% опрошенного населения.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Оценка качества официальной информации о состоянии конкурентной среды на рынках товаров и услуг Краснодарского края, размещаемой в      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открытом доступе, потребителями товаров, работ и услуг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highlight w:val="white"/>
        </w:rPr>
        <w:drawing>
          <wp:inline distT="0" distB="0" distL="0" distR="0">
            <wp:extent cx="6115049" cy="1719245"/>
            <wp:effectExtent l="4762" t="4762" r="4762" b="4762"/>
            <wp:docPr id="7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Высоко оценили качество информации по всем трём критериям в среднем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около 52% респондентов; столько же вполне удовлетворены доступностью, понятностью и удобством получения официальной информации.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shd w:val="clear" w:color="auto" w:fill="auto"/>
          <w:lang w:eastAsia="ru-RU"/>
        </w:rPr>
        <w:t xml:space="preserve">1.4.  Мониторинг развития передовых производственных технологий и их внедрения, а также процесса цифровизации экономики и формирования её новых рынков и сегментов.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Внедрение, развитие и применение новых производственных технологий направлено не на совершенствование, а на принципиальное изменение струк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туры производства, на ускоренное технологическое развитие отраслей экономики, импортозамещение продукции, создание новых рынков и новых отраслей; способствует качественному росту производительности труда и в целом повышению конкурентоспособности экономики.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Передовые производственные технологии часто называют «прорывными», главная цель их внедрения – производить продукцию качественнее, быстрее и при этом дешевле.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Однако подавляющее большинство опрошенных предпринимателей указали на наличие различных препятствий при разработке передовых производственных технологий на территории Краснодарского края.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left" w:pos="0" w:leader="none"/>
          <w:tab w:val="clear" w:pos="708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shd w:val="clear" w:color="auto" w:fill="auto"/>
          <w:lang w:eastAsia="ru-RU"/>
        </w:rPr>
        <w:t xml:space="preserve">Наиболее существенные препятствия при разработке 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left" w:pos="0" w:leader="none"/>
          <w:tab w:val="clear" w:pos="708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shd w:val="clear" w:color="auto" w:fill="auto"/>
          <w:lang w:eastAsia="ru-RU"/>
        </w:rPr>
        <w:t xml:space="preserve">передовых производственных технологий по оценкам предпринимателей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Так, основными препятствиями для вхождения на высокотехнологичные рынки на территории Краснодарского края являются: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</w:rPr>
      </w:r>
    </w:p>
    <w:p>
      <w:pPr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нехватка финансов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 (отметили 9,4% опрошенных);</w:t>
      </w:r>
      <w:r>
        <w:rPr>
          <w:highlight w:val="white"/>
        </w:rPr>
      </w:r>
      <w:r>
        <w:rPr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дефицит квалифицированных кадров (указали 9,2% представителей бизнеса);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неэффективная система управления (по оценкам 8,6% предпринимателей).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Около 9,0% опрошенных отметили, что барьеры для разработки передовых производственных технологий отсутствуют.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highlight w:val="white"/>
        </w:rPr>
      </w:pPr>
      <w:r>
        <w:rPr>
          <w:highlight w:val="white"/>
          <w:shd w:val="clear" w:color="auto" w:fill="auto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highlight w:val="white"/>
          <w:shd w:val="clear" w:color="auto" w:fill="auto"/>
        </w:rPr>
      </w:pPr>
      <w:r>
        <w:rPr>
          <w:highlight w:val="white"/>
        </w:rPr>
        <w:drawing>
          <wp:inline distT="0" distB="0" distL="0" distR="0">
            <wp:extent cx="6115049" cy="2588661"/>
            <wp:effectExtent l="4762" t="4762" r="4762" b="4762"/>
            <wp:docPr id="8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Аддитивные технологии, новые материалы, промышленную автоматизацию и роботизацию объединяют, в первую очередь, цифровые технологии, системы автоматического проектирования, инжиниринга и производства. 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Проникновение интернета и цифровых технологий в отрасли, которые традиционно считались офлайновыми, стало одним из основных трендов последних лет. Это позволяет гово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рить о цифровой трансформации всех отраслей экономики муниципального образования. Главной движущей силой здесь является бизнес: в таких отраслях, как финансовый сектор, розничная торговля, связь, уровень цифровизации уже сейчас находится на высоком уровне.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Краснодарцы – активные пользователей интернета. Поэтому количество и качество мобильных приложений для горожан и туристов растёт. В муниципальном образовании город Краснодар цифровые технологии используются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практически во всех сферах социально-экономической деятельности и областях жизни граждан: цифровые услуги для использования личного и общественного транспорта; городские информационные сервисы; оплата коммунальных платежей; МФЦ и цифровые услуги электронн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ой записи через Интернет в городские учреждения; доступ к публичной бесплатной Wi-Fi сети; пользование финансово-технологическими услугами, такими как мобильные приложения банков или страховых компаний, мобильные электронные кошельки или средства платежей.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2025 году представители бизнес-сообщества муниципального образования город Краснодар оценили доступность и качество цифровых услуг на территории Краснодарского края.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Анализ резул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ьтатов анкетирования проведён в разрезе анкет предпринимателей, пользующихся цифровыми сервисами (порядка 2/3 опрошенных). Более половины предпринимателей, принявшие участие в анкетировании, достаточно высоко оценили доступность и качество цифровых услуг.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Удовлетворённость предпринимателей доступностью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и качеством цифровых услуг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highlight w:val="white"/>
        </w:rPr>
        <w:drawing>
          <wp:inline distT="0" distB="0" distL="0" distR="0">
            <wp:extent cx="6115049" cy="2282984"/>
            <wp:effectExtent l="4762" t="4762" r="4762" b="4762"/>
            <wp:docPr id="9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ab/>
        <w:t xml:space="preserve">Так, в 2025 году, по данным опроса, 75% хозяйствующих субъектов из числа участников анкетирования применяли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цифровые технологии на своём предприятии и смогли оценить изменение производительности труда в результате их применения: из них 33,5% респондентов отметили, что уровень производительности труда благодаря реализации проектов в сфере цифровизации увеличился.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Раздел 2. Результаты мониторинга деятельности хозяйствующих субъектов, доля участия муниципального образования в которых составляет 50 и более процентов.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ab/>
        <w:t xml:space="preserve">Муниципальное  образование город  Краснодар  выступает  участником (учредителем) хозяйствующих субъектов, доля участия муниципального образования в которых составляет более 50%.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1. Общество с ограниченной ответственностью «Муниципальная телерадиокомпания «Краснодар».  Вклад муниципального образования город Краснодар в уставном капитале составляет 77%.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2. ООО «Газета «Краснодарские известия» – ежедневное городское общественно-политическое издание. Вклад администрации муниципального образования город Краснодар составляет 100%.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3. ООО «Радиокомпания РАДИО РОКС-РЕГИОН». Вклад муниципального образования город Краснодар в уставном капитале составляет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</w:rPr>
        <w:t xml:space="preserve">30%.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</w:rPr>
        <w:tab/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</w:rPr>
        <w:t xml:space="preserve">Также в муниципальном образовании город Краснодар по состоянию на 01.01.2026 осуществляли деятельность 416 муниципальных учреждений.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Информация с указанием товарного рынка их присутствия, ИНН,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доли занимаемого товарного рынка, объёма финансирования из бюджетов всех уровней за 2025 год приведена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shd w:val="clear" w:color="auto" w:fill="auto"/>
          <w:lang w:eastAsia="ru-RU"/>
        </w:rPr>
        <w:t xml:space="preserve">в приложении № 1 к отчёту.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Раздел 3. Создание и реализация механизмов общественного контроля за деятельностью субъектов естественных монополий.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clear" w:pos="708" w:leader="none"/>
          <w:tab w:val="left" w:pos="709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соответствии с Реестром субъектов естественных монополий, формируемым Федеральной антимонопольной службой России, на территории муниципального образования город Краснодар деятельность субъектов естественных мо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нополий осуществляется на следующих рынках: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709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топливно-энергетическом комплексе (49 организаций, в том числе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ПАО «Россети Кубань», ООО «Краснодар Водоканал», АО «Международный аэропорт «Краснодар»; АО «Газпром теплоэнерго Краснодар», ООО «Газпром трансгаз Краснодар», ООО «РН-Краснодарнефтегаз», ООО «Газпром добыча Краснодар»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);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709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сфере водоснабжения и водоотведения с использованием централизованных систем, систем коммунальной инфраструктуры (6 организаций, в том числе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АО «Международный аэропорт «Краснодар», ООО «Калининский водоканал», АО «Азово-Черноморское экологическое научно-производственное предприятие СИРИУС»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709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 транспорте (2 организации -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ОАО «Кубань Экспресс-пригород», АО «Международный аэропорт «Краснодар»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709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Информация о деятельности субъектов естественных монополий для общего сведения, предусмотренной к обязательному раскрытию, размещена на официальных сайтах организаций.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Порядок и принципы регулирования тарифов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 услуги организаций коммунального комплекса определены соответствующими федеральными законодательными и нормативными правовыми актами, регулирующими ценообразование в отношении естественных монополий.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709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Администрация муниципального образования город Краснодар явля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ется органом регулирования тарифов в сфере холодного водоснабжения, водоотведения в соответствии с требованиями  Постановления Правительства Российской Федерации от 26.01.2023 № 108 «О стандартах раскрытия информации в сфере водоснабжения и водоотведения».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709" w:leader="none"/>
        </w:tabs>
        <w:rPr>
          <w:highlight w:val="white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В соответствии с Законом Краснодарского края от 15.10.2010 № 2065-КЗ «О  наделении органов местного самоуправления в краснодарск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ом крае отдельными  государственными полномочиями по регулированию тарифов в сфере холодного водоснабжения, водоотведения» на официальном Интернет-портале администрации муниципального образования город Краснодар и городской Думы Краснодара осуществляется р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азмещение информации по вопросам регулирования тарифов в сфере холодного водоснабжения и водоотведения для обеспечения её доступа неограниченному кругу лиц, а также организациям, осуществляющим деятельность в сфере холодного водоснабжения и водоотведения (</w:t>
      </w:r>
      <w:hyperlink r:id="rId19" w:tooltip="https://krd.ru/administratsiya/administratsii-krasnodara/upravlenie-tsen-i-tarifov/elektronnyy-sbornik-1-07-2013/tarify_zhkh/open_info/" w:history="1">
        <w:r>
          <w:rPr>
            <w:rStyle w:val="831"/>
            <w:rFonts w:ascii="Times New Roman" w:hAnsi="Times New Roman" w:eastAsia="Calibri" w:cs="Times New Roman"/>
            <w:color w:val="000000"/>
            <w:sz w:val="28"/>
            <w:szCs w:val="28"/>
            <w:highlight w:val="white"/>
            <w:shd w:val="clear" w:color="auto" w:fill="auto"/>
            <w:lang w:val="ru-RU" w:eastAsia="ru-RU" w:bidi="ar-SA"/>
          </w:rPr>
          <w:t xml:space="preserve">https://krd.ru/administratsiya/administratsii-krasnodara/upravlenie-tsen-i-tarifov/elektronnyy-sbornik-1-07-2013/tarify_zhkh/open_info/</w:t>
        </w:r>
      </w:hyperlink>
      <w:r>
        <w:rPr>
          <w:rStyle w:val="831"/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).</w:t>
      </w:r>
      <w:r>
        <w:rPr>
          <w:highlight w:val="white"/>
        </w:rPr>
      </w:r>
      <w:r>
        <w:rPr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709" w:leader="none"/>
        </w:tabs>
        <w:rPr>
          <w:highlight w:val="white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Тарифы на услуги организаций коммунального комплекса по всем организациям, осуществляющим деятельность на территории муниципального образования город Краснодар, установлены в соответствии с федеральным законодательством и размещены в сети интернет (</w:t>
      </w:r>
      <w:hyperlink r:id="rId20" w:tooltip="https://krd.ru/administratsiya/administratsii-krasnodara/upravlenie-tsen-i-tarifov/elektronnyy-sbornik-1-07-2013/tarify_zhkh/reestr_deystv_tarifov_nadbavok/" w:history="1">
        <w:r>
          <w:rPr>
            <w:rStyle w:val="831"/>
            <w:rFonts w:ascii="Times New Roman" w:hAnsi="Times New Roman" w:eastAsia="Calibri" w:cs="Times New Roman"/>
            <w:color w:val="000000"/>
            <w:sz w:val="28"/>
            <w:szCs w:val="28"/>
            <w:highlight w:val="white"/>
            <w:shd w:val="clear" w:color="auto" w:fill="auto"/>
            <w:lang w:val="ru-RU" w:eastAsia="ru-RU" w:bidi="ar-SA"/>
          </w:rPr>
          <w:t xml:space="preserve">https://krd.ru/administratsiya/administratsii-krasnodara/upravlenie-tsen-i-tarifov/elektronnyy-sbornik-1-07-2013/tarify_zhkh/reestr_deystv_tarifov_nadbavok/</w:t>
        </w:r>
      </w:hyperlink>
      <w:r>
        <w:rPr>
          <w:rStyle w:val="831"/>
          <w:rFonts w:ascii="Times New Roman" w:hAnsi="Times New Roman" w:eastAsia="Calibri" w:cs="Times New Roman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). </w:t>
      </w:r>
      <w:r>
        <w:rPr>
          <w:highlight w:val="white"/>
        </w:rPr>
      </w:r>
      <w:r>
        <w:rPr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709" w:leader="none"/>
        </w:tabs>
        <w:rPr>
          <w:rFonts w:ascii="Times New Roman" w:hAnsi="Times New Roman"/>
          <w:sz w:val="24"/>
          <w:szCs w:val="28"/>
          <w:highlight w:val="white"/>
          <w:shd w:val="clear" w:color="auto" w:fill="auto"/>
        </w:rPr>
      </w:pPr>
      <w:r>
        <w:rPr>
          <w:rFonts w:ascii="Times New Roman" w:hAnsi="Times New Roman"/>
          <w:sz w:val="24"/>
          <w:szCs w:val="28"/>
          <w:highlight w:val="white"/>
          <w:shd w:val="clear" w:color="auto" w:fill="auto"/>
          <w:lang w:eastAsia="ru-RU"/>
        </w:rPr>
      </w:r>
      <w:r>
        <w:rPr>
          <w:rFonts w:ascii="Times New Roman" w:hAnsi="Times New Roman"/>
          <w:sz w:val="24"/>
          <w:szCs w:val="28"/>
          <w:highlight w:val="white"/>
          <w:shd w:val="clear" w:color="auto" w:fill="auto"/>
        </w:rPr>
      </w:r>
      <w:r>
        <w:rPr>
          <w:rFonts w:ascii="Times New Roman" w:hAnsi="Times New Roman"/>
          <w:sz w:val="24"/>
          <w:szCs w:val="28"/>
          <w:highlight w:val="white"/>
          <w:shd w:val="clear" w:color="auto" w:fill="auto"/>
        </w:rPr>
      </w:r>
    </w:p>
    <w:p>
      <w:pPr>
        <w:pStyle w:val="800"/>
        <w:jc w:val="center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/>
          <w:b/>
          <w:i/>
          <w:sz w:val="28"/>
          <w:szCs w:val="28"/>
          <w:highlight w:val="white"/>
          <w:shd w:val="clear" w:color="auto" w:fill="auto"/>
        </w:rPr>
        <w:t xml:space="preserve">Анализ данных об уровнях тарифов (цен), действующих в 2025 году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jc w:val="center"/>
        <w:spacing w:before="0" w:after="0" w:line="276" w:lineRule="auto"/>
        <w:rPr>
          <w:rFonts w:ascii="Times New Roman" w:hAnsi="Times New Roman"/>
          <w:b/>
          <w:bCs/>
          <w:i/>
          <w:sz w:val="24"/>
          <w:szCs w:val="24"/>
          <w:highlight w:val="white"/>
          <w:shd w:val="clear" w:color="auto" w:fill="auto"/>
        </w:rPr>
      </w:pPr>
      <w:r>
        <w:rPr>
          <w:rFonts w:ascii="Times New Roman" w:hAnsi="Times New Roman"/>
          <w:b/>
          <w:i/>
          <w:sz w:val="24"/>
          <w:szCs w:val="28"/>
          <w:highlight w:val="white"/>
          <w:shd w:val="clear" w:color="auto" w:fill="auto"/>
        </w:rPr>
      </w:r>
      <w:r>
        <w:rPr>
          <w:rFonts w:ascii="Times New Roman" w:hAnsi="Times New Roman"/>
          <w:b/>
          <w:bCs/>
          <w:i/>
          <w:sz w:val="24"/>
          <w:szCs w:val="24"/>
          <w:highlight w:val="white"/>
          <w:shd w:val="clear" w:color="auto" w:fill="auto"/>
        </w:rPr>
      </w:r>
      <w:r>
        <w:rPr>
          <w:rFonts w:ascii="Times New Roman" w:hAnsi="Times New Roman"/>
          <w:b/>
          <w:bCs/>
          <w:i/>
          <w:sz w:val="24"/>
          <w:szCs w:val="24"/>
          <w:highlight w:val="white"/>
          <w:shd w:val="clear" w:color="auto" w:fill="auto"/>
        </w:rPr>
      </w:r>
    </w:p>
    <w:tbl>
      <w:tblPr>
        <w:tblW w:w="9533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33"/>
        <w:gridCol w:w="7499"/>
      </w:tblGrid>
      <w:tr>
        <w:tblPrEx/>
        <w:trPr>
          <w:trHeight w:val="642"/>
          <w:tblHeader/>
        </w:trPr>
        <w:tc>
          <w:tcPr>
            <w:tcW w:w="2033" w:type="dxa"/>
            <w:vAlign w:val="center"/>
            <w:textDirection w:val="lrTb"/>
            <w:noWrap w:val="false"/>
          </w:tcPr>
          <w:p>
            <w:pPr>
              <w:pStyle w:val="800"/>
              <w:ind w:firstLine="0"/>
              <w:jc w:val="center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Наименование рынка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tcW w:w="7499" w:type="dxa"/>
            <w:textDirection w:val="lrTb"/>
            <w:noWrap w:val="false"/>
          </w:tcPr>
          <w:p>
            <w:pPr>
              <w:pStyle w:val="800"/>
              <w:ind w:firstLine="0"/>
              <w:jc w:val="center"/>
              <w:spacing w:before="0" w:after="0" w:line="276" w:lineRule="auto"/>
              <w:widowControl/>
              <w:rPr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Анализ данных об уровнях тарифов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tcW w:w="2033" w:type="dxa"/>
            <w:textDirection w:val="lrTb"/>
            <w:noWrap w:val="false"/>
          </w:tcPr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Рынок водоснабжения и водоотведения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tcW w:w="7499" w:type="dxa"/>
            <w:textDirection w:val="lrTb"/>
            <w:noWrap w:val="false"/>
          </w:tcPr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Основным поставщиком услуг потребителям в сфере холодного водоснабжения и водоотведения является ООО «Краснодар Водоканал». На 2025 год постановлением администрации муниципального образования город Краснодар от 19.12.2024 </w:t>
            </w:r>
            <w:r>
              <w:rPr>
                <w:rStyle w:val="800"/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№ 8281 «</w:t>
            </w:r>
            <w:r>
              <w:rPr>
                <w:rStyle w:val="800"/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Об установлении на 2025 - 2029 годы тарифов в сфере холодного водоснабжения и водоотведения обществу с ограниченной ответственностью "Краснодар Водоканал"»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установлены среднегодовые тарифы для населения: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highlight w:val="white"/>
              </w:rPr>
              <w:t xml:space="preserve">на питьевую воду: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с 01.01.02025 – 47,46 руб./куб.м., с 01.07.2024.- 51,25 руб,/куб,м;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highlight w:val="white"/>
              </w:rPr>
              <w:t xml:space="preserve">на водоотведение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: с 01.01.2025 – 34,51 руб./куб. м., с 01.07.2025 — 40,37 руб,/куб,м;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Льготные тарифы для населения на питьевую воду и водоотведение на 2025 год установлены постановление администрации муниципального образования город Краснодар от 19.12.2024 № 8282.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2033" w:type="dxa"/>
            <w:textDirection w:val="lrTb"/>
            <w:noWrap w:val="false"/>
          </w:tcPr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Рынок теплоснабжения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tcW w:w="7499" w:type="dxa"/>
            <w:textDirection w:val="lrTb"/>
            <w:noWrap w:val="false"/>
          </w:tcPr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В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муниципальном образовании город Краснодар основным поставщиком тепловой энергию, реализуемой для нужд населения, является АО «Автономная теплоэнергетическая компания» филиал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«Краснодартеплоэнерго». Тарифы на тепловую энергию на 2025 год установлены приказом департамента государственного регулирования тарифов Краснодарского края от 26.12.2024 № 595/2024-т: на отопление и горячее водоснабжение  с 01.01.2025 – 2424,97 руб./Гкал;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с 01.07.2025 года установлены тарифы на отопление и водоснабжение в размере 2837,21 руб/Гкал.: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2033" w:type="dxa"/>
            <w:textDirection w:val="lrTb"/>
            <w:noWrap w:val="false"/>
          </w:tcPr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Рынок купли-продажи электрической энергии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tcW w:w="7499" w:type="dxa"/>
            <w:textDirection w:val="lrTb"/>
            <w:noWrap w:val="false"/>
          </w:tcPr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Приказом РЭК департамента цени и тарифов Краснодарского края от 25.11.2024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№ 24/2024-э «Об установлении цен (тарифов) на электрическую энерг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ию для населения и потребителей, приравненных к категории население, по Краснодарскому краю, республике Адыгея и федеральной территории «Сириус»»  утверждены тарифы на электроэнергию для населения Краснодарского края с 01.01.2025 года – 6,53 руб./кВт/ч; с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01.07.2025 года – 7,35 руб./кВт/ч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Для населения, проживающего в домах, оборудованных в установленном порядке стационарными электроплитам и в сельских населенных пунктах: с 01.01.2025 года – 4,53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руб./кВт/ч.;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01.07.2025 года – 5,15  руб./кВт/ч.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2033" w:type="dxa"/>
            <w:textDirection w:val="lrTb"/>
            <w:noWrap w:val="false"/>
          </w:tcPr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Раздел 2 реестра субъектов естественных монополий (ОКВЭД 35.22)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Природный газ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tcW w:w="7499" w:type="dxa"/>
            <w:textDirection w:val="lrTb"/>
            <w:noWrap w:val="false"/>
          </w:tcPr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Приказом региональной энергетической комиссии – департамента цен и тарифов Краснодарского края от 30.11.2023 № 29/2023газ с 01.07.2024 установлены тарифы для реализации природного газа населению: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7,14 рублей за 1 куб. м для приготовления пищи и нагрева воды с использованием газовой плиты;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7140 рублей за 1000 куб. м для отопления с использованием газа на другие цели.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Приказом региональной энергетической комиссии – департамента цен и тарифов Краснодарского края от 04.06.2025 № 36/2025газ с 01.07.2025 установлены тарифы для реализации природного газа населению: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7,87 рублей за 1 куб. м для приготовления пищи и нагрева воды с использованием газовой плиты;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7870 рублей за 1000 куб. м для отопления с использованием газа на другие цели.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2033" w:type="dxa"/>
            <w:textDirection w:val="lrTb"/>
            <w:noWrap w:val="false"/>
          </w:tcPr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ОКВЭД 49.31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железнодорожные пассажирские перевозки в пригородном сообщении на территории Краснодарского края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tcW w:w="7499" w:type="dxa"/>
            <w:textDirection w:val="lrTb"/>
            <w:noWrap w:val="false"/>
          </w:tcPr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П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рик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азом региональной энергетической комиссии – департамента цен и тарифов Краснодарского края от 05.03.2025 № 2/2025-жд с 01.01.2025 установлен экономический обоснованный уровень тарифа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в отношении услуг АО «Кубань Экспресс-Пригород»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в сфере перевозок пассажиров железнодорожным транспортом общего пользования в пригородном сообщении в Краснодарском крае и федеральной территории «Сириус»  в размере 5,516 рубля за 1 пассажиро-километр.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2033" w:type="dxa"/>
            <w:textDirection w:val="lrTb"/>
            <w:noWrap w:val="false"/>
          </w:tcPr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ОКВЭД 38.11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pStyle w:val="80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сбор, вывоз и утилизация ТКО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tcW w:w="7499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firstLine="0"/>
              <w:jc w:val="both"/>
              <w:spacing w:before="0"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outlineLvl w:val="1"/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Приказом департамента государственно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г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о регулирования тарифов Краснодарского края  от 20.12.2024 № 25/2024-ТКО установлен единый тариф на услугу регионального оператора по обращению с твердыми коммунальными отходами  АО «Мусороуборочная компания» (Краснодарская зона деятельности) на 2025 год: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с 01.01.2025  в размере 434,6 руб./куб.м., с 01.07.2025 – 457,52 руб./куб.м.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2033" w:type="dxa"/>
            <w:vMerge w:val="restart"/>
            <w:textDirection w:val="lrTb"/>
            <w:noWrap w:val="false"/>
          </w:tcPr>
          <w:p>
            <w:pPr>
              <w:jc w:val="both"/>
              <w:spacing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ОКВЭД 52.23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jc w:val="both"/>
              <w:spacing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Деятельность вспомогательная, связанная с воздушным и космическим транспортом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tcW w:w="7499" w:type="dxa"/>
            <w:vMerge w:val="restart"/>
            <w:textDirection w:val="lrTb"/>
            <w:noWrap w:val="false"/>
          </w:tcPr>
          <w:p>
            <w:pPr>
              <w:jc w:val="both"/>
              <w:spacing w:after="0" w:line="276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outlineLvl w:val="1"/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П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редельные максимальные аэропортовые сбор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ы и тарифы за обслуживание воздушных судов юридических лиц, зарегистрированных на территории Российской Федерации, или граждан Российской Федерации, пользующихся услугами в аэропортах г. Краснодар и г. Геленджик, а также за обслуживание воздушных судов ино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странных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эксплуатантов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у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тверждены для АО «Международный аэропорт «Краснодар»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Приказ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ом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Федеральной антимонопольной службы «Об утверждении тарифов (сборов) на услуги в аэропортах, оказываемые АО «Международный аэропорт «Краснодар»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</w:tr>
    </w:tbl>
    <w:p>
      <w:pPr>
        <w:pStyle w:val="800"/>
        <w:jc w:val="center"/>
        <w:spacing w:before="0" w:after="0" w:line="276" w:lineRule="auto"/>
        <w:rPr>
          <w:rFonts w:ascii="Times New Roman" w:hAnsi="Times New Roman"/>
          <w:b/>
          <w:i/>
          <w:sz w:val="28"/>
          <w:szCs w:val="28"/>
          <w:highlight w:val="white"/>
          <w:shd w:val="clear" w:color="auto" w:fill="auto"/>
        </w:rPr>
      </w:pPr>
      <w:r>
        <w:rPr>
          <w:rFonts w:ascii="Times New Roman" w:hAnsi="Times New Roman"/>
          <w:b/>
          <w:i/>
          <w:sz w:val="28"/>
          <w:szCs w:val="28"/>
          <w:highlight w:val="white"/>
          <w:shd w:val="clear" w:color="auto" w:fill="auto"/>
          <w:lang w:eastAsia="ru-RU"/>
        </w:rPr>
      </w:r>
      <w:r>
        <w:rPr>
          <w:rFonts w:ascii="Times New Roman" w:hAnsi="Times New Roman"/>
          <w:b/>
          <w:i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/>
          <w:b/>
          <w:i/>
          <w:sz w:val="28"/>
          <w:szCs w:val="28"/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709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  <w:lang w:eastAsia="ru-RU"/>
        </w:rPr>
        <w:t xml:space="preserve">Изменение тарифов в 2025 году обу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  <w:lang w:eastAsia="ru-RU"/>
        </w:rPr>
        <w:t xml:space="preserve">словлено объективными факторами ростом себестоимости коммунальных услуг и регулируемых тарифов, повышением затрат регулируемых организаций на электроэнергию, газ, значительным ростом цен на жидкое топливо, индексацией расходов на оплату труда, решения ФАС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России об установлении предельных минимального и максимального уровней тарифов на электроэнергию для населения края, общие инфляционные процессы в экономике.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709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Установленные в муниципальном образовании город Краснодар на 2025 год тарифы в сфере тепло-газо-энергоснабжения, водоснабжения и водоотведения отвечают принципу экономической обоснованности.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709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Для проведения мониторинга удовлетворённости предпринимателей и потребителей деятельностью естественных монополий были определены сферы: водоснабжения и водоотведения, водоочистки, газоснабжения, электроснабжения, теплоснабжения, телефонной связи.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709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опросе приняли участие 16,6 тысячи представителей бизнеса.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Третья часть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из них сумели оценить сроки подключения услуг субъектов естественных монополий, осуществляющих деятельность на территории муниципального образования, сложность и стоимость процедур подключения, а также изменение характеристик услуг СЕМ за последние 5 лет.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Мнения представителей хозяйствующих субъектов, принимавших участие в опросе в 2025 году относительно стоимости подключения к услугам субъектов естественных монополий в муниципальном образовании город Краснодар, идент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ичны: большинство предпринимателей удовлетворены стоимостью подключения к сетям водоснабжения и водоотведения, водоочистки, газо- и электроснабжения, теплоснабжения и телефонной связи.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Оценка стоимости подключения к услугам субъектов естественных 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монополий в муниципальном образовании город Краснодар</w:t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</w:p>
    <w:p>
      <w:pPr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</w:p>
    <w:p>
      <w:pPr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</w:r>
      <w:r>
        <w:rPr>
          <w:highlight w:val="white"/>
        </w:rPr>
        <w:drawing>
          <wp:inline distT="0" distB="0" distL="0" distR="0">
            <wp:extent cx="6120130" cy="2071339"/>
            <wp:effectExtent l="4762" t="4762" r="4762" b="4762"/>
            <wp:docPr id="10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Сроки подключения к сетям естественных монополий в муниципальном образовании город Краснодар (электроэнергии, водоснабжения и газоснабжения, теплосетям) – одна из основных проблем предпринимателей при ведении бизнеса – постепенно сокращаются.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Оценка сроков получения доступа к услугам субъектов естественных        монополий в муниципальном образовании город Краснодар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highlight w:val="white"/>
        </w:rPr>
        <w:drawing>
          <wp:inline distT="0" distB="0" distL="0" distR="0">
            <wp:extent cx="6120130" cy="2106519"/>
            <wp:effectExtent l="4762" t="4762" r="4762" b="4762"/>
            <wp:docPr id="1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Продолжающаяся оптимизация порядка подключения, сокращение сроков,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снижение стоимости подключения, а также повышение прозрачности раскрываемой субъектами естественной монополии информации, позволит добиться повышения доступности энергетической инфраструктуры в части развития предпринимательства и обеспечения конкуренции.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Так, большинство участников опроса, прошедших данную процедуру, как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и в предыдущие годы, не считают сроки подключения к сетям естественных монополий затянутыми.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Оценка сложности процедур подключения к услугам субъектов 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естественных монополий в муниципальном образовании город Краснодар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highlight w:val="white"/>
        </w:rPr>
        <w:drawing>
          <wp:inline distT="0" distB="0" distL="0" distR="0">
            <wp:extent cx="6120130" cy="2078340"/>
            <wp:effectExtent l="4762" t="4762" r="4762" b="4762"/>
            <wp:docPr id="1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Более 65% предпринимателей не считают сложными процедуры подключения услуг субъектов естественных монополий к сетям водоснабжения, водоотведения, водоочистки, электроснабжения, теплоснабжения, телефонной связи и газоснабжения.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Респонденты также оценили ситуацию по предоставлению услуг естественных монополий в динамике за последние 5 лет.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Изменение сложности процедур подключения к услугам СЕМ 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в муниципальном образовании город Краснодар за последние 5 лет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highlight w:val="white"/>
        </w:rPr>
        <w:drawing>
          <wp:inline distT="0" distB="0" distL="0" distR="0">
            <wp:extent cx="6120130" cy="2015888"/>
            <wp:effectExtent l="4762" t="4762" r="4762" b="4762"/>
            <wp:docPr id="1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708" w:leader="none"/>
          <w:tab w:val="left" w:pos="709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 w:eastAsia="ru-RU" w:bidi="ar-SA"/>
        </w:rPr>
        <w:tab/>
        <w:t xml:space="preserve">Подавляющее большинство опрошенных предпринимателей отметили, что  ситуация  при  прохождении  процедур  подключения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 w:eastAsia="ru-RU" w:bidi="ar-SA"/>
        </w:rPr>
        <w:t xml:space="preserve">  к услугам субъектов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contextualSpacing/>
        <w:jc w:val="both"/>
        <w:spacing w:before="0" w:after="0" w:line="276" w:lineRule="auto"/>
        <w:tabs>
          <w:tab w:val="left" w:pos="708" w:leader="none"/>
          <w:tab w:val="left" w:pos="709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 w:eastAsia="ru-RU" w:bidi="ar-SA"/>
        </w:rPr>
        <w:t xml:space="preserve">естественных монополий за последние 5 лет не изменилась.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709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 w:eastAsia="ru-RU" w:bidi="ar-SA"/>
        </w:rPr>
        <w:t xml:space="preserve">Услуги субъектов естественных монополий сумели оценить порядка 95% из 33,3 тысячи опрошенных потребителей услуг.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Оценка жителями города качества услуг 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субъектов естественных монополий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  <w:tab w:val="left" w:pos="1276" w:leader="none"/>
          <w:tab w:val="left" w:pos="141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  <w:tab w:val="left" w:pos="1276" w:leader="none"/>
          <w:tab w:val="left" w:pos="1418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highlight w:val="white"/>
        </w:rPr>
        <w:drawing>
          <wp:inline distT="0" distB="0" distL="0" distR="0">
            <wp:extent cx="6120130" cy="2397658"/>
            <wp:effectExtent l="4762" t="4762" r="4762" b="4762"/>
            <wp:docPr id="1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  <w:tab w:val="left" w:pos="1276" w:leader="none"/>
          <w:tab w:val="left" w:pos="141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  <w:tab w:val="left" w:pos="1276" w:leader="none"/>
          <w:tab w:val="left" w:pos="141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Результаты мониторинга оценки услуг субъектов естественных монополий жителями города показали, что участники анкетирования достаточно высоко оценили качеств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предоставления услуг по водоснабжению и водоотведению, электроснабжению, теплоснабжению, газоснабжению и телефонной связи. Оценку «удовлетворительно» поставили порядка 85% опрошенных. Не очень высоко потребители оценили лишь качество водоочистки в городе.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  <w:tab w:val="left" w:pos="1276" w:leader="none"/>
          <w:tab w:val="left" w:pos="141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Каждый потребитель так или иначе вз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аимодействует с субъектами естественных монополий. Часть респондентов смогли выделить основные проблемы при этом взаимодействии, 16% опрошенных не сталкивались с подобными проблемами, ещё столько же не взаимодействовали с субъектами естественных монополий.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  <w:tab w:val="left" w:pos="1276" w:leader="none"/>
          <w:tab w:val="left" w:pos="141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left" w:pos="0" w:leader="none"/>
          <w:tab w:val="clear" w:pos="708" w:leader="none"/>
          <w:tab w:val="left" w:pos="1276" w:leader="none"/>
          <w:tab w:val="left" w:pos="141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highlight w:val="white"/>
        </w:rPr>
        <w:drawing>
          <wp:inline distT="0" distB="0" distL="0" distR="0">
            <wp:extent cx="6120130" cy="2458981"/>
            <wp:effectExtent l="4762" t="4762" r="4762" b="4762"/>
            <wp:docPr id="1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  <w:tab w:val="left" w:pos="1276" w:leader="none"/>
          <w:tab w:val="left" w:pos="141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Так, большинство опрошенных (более 70%) либо не сталкивались с подобными проблемами, либо не взаимодействовали с субъектами естественных монополий.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  <w:tab w:val="left" w:pos="1276" w:leader="none"/>
          <w:tab w:val="left" w:pos="141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Монополии во многом создают условия необходимые для экономического роста муниципального образования и его социального развития, способствую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т повышению конкурентоспособности экономики. Особое значение имеют реализуемые естественными монополиями инвестиционные программы, которые служат созданию дополнительных рабочих мест, повышению инвестиционной привлекательности и улучшению делового климата.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  <w:tab w:val="left" w:pos="1276" w:leader="none"/>
          <w:tab w:val="left" w:pos="141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Информация об инвестиционных программах и проектах развития субъектов естественных монополий, осуществляющих деятельность на территории муниципального образования город Краснодар, размещена (при наличии) на сайтах этих организаций.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Кроме того, информация об ок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азываемых сетевыми организациями юридическим, физическим лицам и индивидуальным предпринимателям услугах по технологическому присоединению к сетям размещена на официальных сайтах ресурсоснабжающих организаций в информационно-коммуникационной сети Интернет.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  <w:tab w:val="left" w:pos="1276" w:leader="none"/>
          <w:tab w:val="left" w:pos="141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tbl>
      <w:tblPr>
        <w:tblW w:w="9692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52"/>
        <w:gridCol w:w="1764"/>
        <w:gridCol w:w="6076"/>
      </w:tblGrid>
      <w:tr>
        <w:tblPrEx/>
        <w:trPr/>
        <w:tc>
          <w:tcPr>
            <w:tcW w:w="1852" w:type="dxa"/>
            <w:textDirection w:val="lrTb"/>
            <w:noWrap w:val="false"/>
          </w:tcPr>
          <w:p>
            <w:pPr>
              <w:pStyle w:val="800"/>
              <w:contextualSpacing/>
              <w:jc w:val="center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ru-RU" w:eastAsia="ru-RU" w:bidi="ar-SA"/>
              </w:rPr>
              <w:t xml:space="preserve">Наименование сети инженерно-технического обеспечения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64" w:type="dxa"/>
            <w:textDirection w:val="lrTb"/>
            <w:noWrap w:val="false"/>
          </w:tcPr>
          <w:p>
            <w:pPr>
              <w:pStyle w:val="800"/>
              <w:contextualSpacing/>
              <w:jc w:val="center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ru-RU" w:eastAsia="ru-RU" w:bidi="ar-SA"/>
              </w:rPr>
              <w:t xml:space="preserve">Наименование ресурсо-снабжающей организации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6076" w:type="dxa"/>
            <w:textDirection w:val="lrTb"/>
            <w:noWrap w:val="false"/>
          </w:tcPr>
          <w:p>
            <w:pPr>
              <w:pStyle w:val="800"/>
              <w:contextualSpacing/>
              <w:jc w:val="center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ru-RU" w:eastAsia="ru-RU" w:bidi="ar-SA"/>
              </w:rPr>
              <w:t xml:space="preserve">Информация о технологическом присоединении в сети Интернет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852" w:type="dxa"/>
            <w:textDirection w:val="lrTb"/>
            <w:noWrap w:val="false"/>
          </w:tcPr>
          <w:p>
            <w:pPr>
              <w:pStyle w:val="800"/>
              <w:contextualSpacing/>
              <w:jc w:val="both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ru-RU" w:eastAsia="ru-RU" w:bidi="ar-SA"/>
              </w:rPr>
              <w:t xml:space="preserve">Электроснабжение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pStyle w:val="800"/>
              <w:contextualSpacing/>
              <w:jc w:val="both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64" w:type="dxa"/>
            <w:textDirection w:val="lrTb"/>
            <w:noWrap w:val="false"/>
          </w:tcPr>
          <w:p>
            <w:pPr>
              <w:pStyle w:val="800"/>
              <w:contextualSpacing/>
              <w:jc w:val="both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ru-RU" w:eastAsia="ru-RU" w:bidi="ar-SA"/>
              </w:rPr>
              <w:t xml:space="preserve">ПАО «Россети Кубань»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6076" w:type="dxa"/>
            <w:textDirection w:val="lrTb"/>
            <w:noWrap w:val="false"/>
          </w:tcPr>
          <w:p>
            <w:pPr>
              <w:pStyle w:val="800"/>
              <w:contextualSpacing/>
              <w:jc w:val="both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hyperlink r:id="rId27" w:tooltip="https://rosseti-kuban.ru/potrebitelyam/tekhnologicheskoe-prisoedinenie/obschaya-informatsiya-o-tekhnologicheskom-prisoedinenii/" w:history="1"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ru-RU" w:eastAsia="ru-RU" w:bidi="ar-SA"/>
                </w:rPr>
                <w:t xml:space="preserve">https://rosseti-kuban.ru/potrebitelyam/tekhnologicheskoe-prisoedinenie/obschaya-informatsiya-o-tekhnologicheskom-prisoedinenii/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pStyle w:val="800"/>
              <w:contextualSpacing/>
              <w:jc w:val="both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hyperlink r:id="rId28" w:tooltip="https://xn----7sb7akeedqd.xn--p1ai/platform/ portal/tehprisEE_portal" w:history="1"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ru-RU" w:eastAsia="ru-RU" w:bidi="ar-SA"/>
                </w:rPr>
                <w:t xml:space="preserve">https://xn----7sb7akeedqd.xn--p1ai/platform/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pStyle w:val="800"/>
              <w:contextualSpacing/>
              <w:jc w:val="both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hyperlink r:id="rId29" w:tooltip="https://xn----7sb7akeedqd.xn--p1ai/platform/ portal/tehprisEE_portal" w:history="1"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ru-RU" w:eastAsia="ru-RU" w:bidi="ar-SA"/>
                </w:rPr>
                <w:t xml:space="preserve">portal/tehprisEE_portal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852" w:type="dxa"/>
            <w:textDirection w:val="lrTb"/>
            <w:noWrap w:val="false"/>
          </w:tcPr>
          <w:p>
            <w:pPr>
              <w:pStyle w:val="800"/>
              <w:contextualSpacing/>
              <w:jc w:val="both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ru-RU" w:eastAsia="ru-RU" w:bidi="ar-SA"/>
              </w:rPr>
              <w:t xml:space="preserve">Водоснабжение, водоотведение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64" w:type="dxa"/>
            <w:textDirection w:val="lrTb"/>
            <w:noWrap w:val="false"/>
          </w:tcPr>
          <w:p>
            <w:pPr>
              <w:pStyle w:val="800"/>
              <w:contextualSpacing/>
              <w:jc w:val="both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ru-RU" w:eastAsia="ru-RU" w:bidi="ar-SA"/>
              </w:rPr>
              <w:t xml:space="preserve">ООО «Краснодар Водоканал»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6076" w:type="dxa"/>
            <w:textDirection w:val="lrTb"/>
            <w:noWrap w:val="false"/>
          </w:tcPr>
          <w:p>
            <w:pPr>
              <w:pStyle w:val="800"/>
              <w:contextualSpacing/>
              <w:jc w:val="both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hyperlink r:id="rId30" w:tooltip="https://krasnodar.rosvodokanal.ru/users/individual/connection/contract/" w:history="1"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ru-RU" w:eastAsia="ru-RU" w:bidi="ar-SA"/>
                </w:rPr>
                <w:t xml:space="preserve">https://krasnodar.rosvodokanal.ru/users/individual/connection/contract/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pStyle w:val="800"/>
              <w:contextualSpacing/>
              <w:jc w:val="both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hyperlink r:id="rId31" w:tooltip="https://krasnodar.rosvodokanal.ru/users/individual/connection/contract/application/" w:history="1"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en-US" w:eastAsia="ru-RU" w:bidi="ar-SA"/>
                </w:rPr>
                <w:t xml:space="preserve">https</w:t>
              </w:r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ru-RU" w:eastAsia="ru-RU" w:bidi="ar-SA"/>
                </w:rPr>
                <w:t xml:space="preserve">://</w:t>
              </w:r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en-US" w:eastAsia="ru-RU" w:bidi="ar-SA"/>
                </w:rPr>
                <w:t xml:space="preserve">krasnodar</w:t>
              </w:r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ru-RU" w:eastAsia="ru-RU" w:bidi="ar-SA"/>
                </w:rPr>
                <w:t xml:space="preserve">.</w:t>
              </w:r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en-US" w:eastAsia="ru-RU" w:bidi="ar-SA"/>
                </w:rPr>
                <w:t xml:space="preserve">rosvodokanal</w:t>
              </w:r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ru-RU" w:eastAsia="ru-RU" w:bidi="ar-SA"/>
                </w:rPr>
                <w:t xml:space="preserve">.</w:t>
              </w:r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en-US" w:eastAsia="ru-RU" w:bidi="ar-SA"/>
                </w:rPr>
                <w:t xml:space="preserve">ru</w:t>
              </w:r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ru-RU" w:eastAsia="ru-RU" w:bidi="ar-SA"/>
                </w:rPr>
                <w:t xml:space="preserve">/</w:t>
              </w:r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en-US" w:eastAsia="ru-RU" w:bidi="ar-SA"/>
                </w:rPr>
                <w:t xml:space="preserve">users</w:t>
              </w:r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ru-RU" w:eastAsia="ru-RU" w:bidi="ar-SA"/>
                </w:rPr>
                <w:t xml:space="preserve">/</w:t>
              </w:r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en-US" w:eastAsia="ru-RU" w:bidi="ar-SA"/>
                </w:rPr>
                <w:t xml:space="preserve">individual</w:t>
              </w:r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ru-RU" w:eastAsia="ru-RU" w:bidi="ar-SA"/>
                </w:rPr>
                <w:t xml:space="preserve">/</w:t>
              </w:r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en-US" w:eastAsia="ru-RU" w:bidi="ar-SA"/>
                </w:rPr>
                <w:t xml:space="preserve">connection</w:t>
              </w:r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ru-RU" w:eastAsia="ru-RU" w:bidi="ar-SA"/>
                </w:rPr>
                <w:t xml:space="preserve">/</w:t>
              </w:r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en-US" w:eastAsia="ru-RU" w:bidi="ar-SA"/>
                </w:rPr>
                <w:t xml:space="preserve">contract</w:t>
              </w:r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ru-RU" w:eastAsia="ru-RU" w:bidi="ar-SA"/>
                </w:rPr>
                <w:t xml:space="preserve">/</w:t>
              </w:r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en-US" w:eastAsia="ru-RU" w:bidi="ar-SA"/>
                </w:rPr>
                <w:t xml:space="preserve">application</w:t>
              </w:r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ru-RU" w:eastAsia="ru-RU" w:bidi="ar-SA"/>
                </w:rPr>
                <w:t xml:space="preserve">/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852" w:type="dxa"/>
            <w:textDirection w:val="lrTb"/>
            <w:noWrap w:val="false"/>
          </w:tcPr>
          <w:p>
            <w:pPr>
              <w:pStyle w:val="800"/>
              <w:contextualSpacing/>
              <w:jc w:val="both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ru-RU" w:eastAsia="ru-RU" w:bidi="ar-SA"/>
              </w:rPr>
              <w:t xml:space="preserve">Теплоснабжение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64" w:type="dxa"/>
            <w:textDirection w:val="lrTb"/>
            <w:noWrap w:val="false"/>
          </w:tcPr>
          <w:p>
            <w:pPr>
              <w:pStyle w:val="800"/>
              <w:contextualSpacing/>
              <w:jc w:val="both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ru-RU" w:eastAsia="ru-RU" w:bidi="ar-SA"/>
              </w:rPr>
              <w:t xml:space="preserve">АО «АТЭК» филиал «Краснодартеплоэнерго»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6076" w:type="dxa"/>
            <w:textDirection w:val="lrTb"/>
            <w:noWrap w:val="false"/>
          </w:tcPr>
          <w:p>
            <w:pPr>
              <w:pStyle w:val="800"/>
              <w:contextualSpacing/>
              <w:jc w:val="both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hyperlink r:id="rId32" w:tooltip="http://oao-atek.ru/podklyuchenie-k-teplovym-setyam/poryadok-zaklyucheniya-dogovora-o-podklyuchenii/" w:history="1"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ru-RU" w:eastAsia="ru-RU" w:bidi="ar-SA"/>
                </w:rPr>
                <w:t xml:space="preserve">http://oao-atek.ru/podklyuchenie-k-teplovym-setyam/poryadok-zaklyucheniya-dogovora-o-podklyuchenii/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pStyle w:val="800"/>
              <w:contextualSpacing/>
              <w:jc w:val="both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hyperlink r:id="rId33" w:tooltip="http://oao-atek.ru/podklyuchenie-k-teplovym-setyam/podgotovit-zayavku/" w:history="1"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ru-RU" w:eastAsia="ru-RU" w:bidi="ar-SA"/>
                </w:rPr>
                <w:t xml:space="preserve">http://oao-atek.ru/podklyuchenie-k-teplovym-setyam/podgotovit-zayavku/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852" w:type="dxa"/>
            <w:textDirection w:val="lrTb"/>
            <w:noWrap w:val="false"/>
          </w:tcPr>
          <w:p>
            <w:pPr>
              <w:pStyle w:val="800"/>
              <w:contextualSpacing/>
              <w:jc w:val="both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ru-RU" w:eastAsia="ru-RU" w:bidi="ar-SA"/>
              </w:rPr>
              <w:t xml:space="preserve">Газоснабжение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64" w:type="dxa"/>
            <w:textDirection w:val="lrTb"/>
            <w:noWrap w:val="false"/>
          </w:tcPr>
          <w:p>
            <w:pPr>
              <w:pStyle w:val="800"/>
              <w:contextualSpacing/>
              <w:jc w:val="both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ru-RU" w:eastAsia="ru-RU" w:bidi="ar-SA"/>
              </w:rPr>
              <w:t xml:space="preserve">АО «Газпром газораспреде-ление Краснодар»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6076" w:type="dxa"/>
            <w:textDirection w:val="lrTb"/>
            <w:noWrap w:val="false"/>
          </w:tcPr>
          <w:p>
            <w:pPr>
              <w:pStyle w:val="800"/>
              <w:contextualSpacing/>
              <w:jc w:val="both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hyperlink r:id="rId34" w:tooltip="https://gazpromgk.ru/ekc/predproektnye-raboty/" w:history="1"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ru-RU" w:eastAsia="ru-RU" w:bidi="ar-SA"/>
                </w:rPr>
                <w:t xml:space="preserve">https://gazpromgk.ru/ekc/predproektnye-raboty/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pStyle w:val="800"/>
              <w:contextualSpacing/>
              <w:jc w:val="both"/>
              <w:spacing w:before="0" w:after="0" w:line="276" w:lineRule="auto"/>
              <w:widowControl/>
              <w:tabs>
                <w:tab w:val="left" w:pos="0" w:leader="none"/>
                <w:tab w:val="clear" w:pos="708" w:leader="none"/>
                <w:tab w:val="left" w:pos="1276" w:leader="none"/>
                <w:tab w:val="left" w:pos="141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ru-RU" w:eastAsia="ru-RU" w:bidi="ar-SA"/>
              </w:rPr>
              <w:t xml:space="preserve">Оказание услуги на базе МФЦ: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hyperlink r:id="rId35" w:tooltip="https://e-mfc.ru/umfc/services/?courseId=569&amp;lessonId=11639" w:history="1">
              <w:r>
                <w:rPr>
                  <w:rStyle w:val="831"/>
                  <w:rFonts w:ascii="Times New Roman" w:hAnsi="Times New Roman" w:eastAsia="Times New Roman"/>
                  <w:sz w:val="24"/>
                  <w:szCs w:val="24"/>
                  <w:highlight w:val="white"/>
                  <w:lang w:val="ru-RU" w:eastAsia="ru-RU" w:bidi="ar-SA"/>
                </w:rPr>
                <w:t xml:space="preserve">https://e-mfc.ru/umfc/services/?courseId=569&amp;lessonId=11639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  <w:tab w:val="left" w:pos="1276" w:leader="none"/>
          <w:tab w:val="left" w:pos="141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Раздел 4. Административные барьеры, препятствующие развитию малого и среднего предпринимательства.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Для  оценки  состояния  конкурентной  среды  на рынках муниципального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образования город  Краснодар были  проанализированы: продуктовые границы,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географические границы, субъекты рынка, изменение объёма реализации продукции при изменении цены на неё,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факторы и меры повышения конкурентоспособности продукции, а также количество конкурентов на рынке, где участники опроса ведут деятельность, изменение числа конкурентов во времени, факторы, оказавшие влияние на увеличение/уменьшение количества конкурентов.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highlight w:val="white"/>
          <w:shd w:val="clear" w:color="auto" w:fill="ffff00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В муниципальном образовании город Краснодар согласно полученным от Управления ФНС России по Краснодарскому краю сведениям прошло процедуру государствен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ной регистрации 43101 юридическое лицо (на 01.10.2025)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 и 76104 индивидуальных предпринимателя (на 23.12.2025).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Предпринимател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ru-RU"/>
        </w:rPr>
        <w:t xml:space="preserve">ьство выступает структурообразующим фактором, содействующим формированию и развитию конкурентной среды.</w:t>
      </w:r>
      <w:r>
        <w:rPr>
          <w:highlight w:val="white"/>
          <w:shd w:val="clear" w:color="auto" w:fill="ffff00"/>
        </w:rPr>
      </w:r>
      <w:r>
        <w:rPr>
          <w:highlight w:val="white"/>
          <w:shd w:val="clear" w:color="auto" w:fill="ffff00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2025 году в опросе принял участие 16671 предст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авитель хозяйствующих субъект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ов, осуществляющих деятельность на территории муниципального образования город Краснодар, представителей товарных рынков, определённых для оказания содействия в развитии конкуренции в муниципальном образовании город Краснодар.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i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/>
          <w:i/>
          <w:szCs w:val="28"/>
          <w:highlight w:val="white"/>
        </w:rPr>
      </w:r>
      <w:r>
        <w:rPr>
          <w:rFonts w:ascii="Times New Roman" w:hAnsi="Times New Roman" w:eastAsia="Times New Roman"/>
          <w:i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Структура хозяйствующих субъектов в разрезе анализируемых товарных рынков по итогам мониторинга 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ab/>
        <w:t xml:space="preserve">В 2025 году, как и в предыдущие 2 года, к участию в анкетировании привлечено примерно одинаковое количество представителей товарных рынков муниципального образования город Краснодар.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Cs w:val="28"/>
          <w:highlight w:val="white"/>
        </w:rPr>
      </w:pPr>
      <w:r>
        <w:rPr>
          <w:highlight w:val="white"/>
        </w:rPr>
        <w:drawing>
          <wp:inline distT="0" distB="0" distL="0" distR="0">
            <wp:extent cx="6035017" cy="2837468"/>
            <wp:effectExtent l="4680" t="4680" r="4680" b="4680"/>
            <wp:docPr id="16" name="Диаграмма 1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rFonts w:ascii="Times New Roman" w:hAnsi="Times New Roman" w:eastAsia="Times New Roman"/>
          <w:szCs w:val="28"/>
          <w:highlight w:val="white"/>
        </w:rPr>
      </w:r>
      <w:r>
        <w:rPr>
          <w:rFonts w:ascii="Times New Roman" w:hAnsi="Times New Roman" w:eastAsia="Times New Roman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Основными рынками реализации товаров и услуг опрошенных предпринимателей, как и в предыдущие годы, являются рынки муниципального образования город Краснодар и Краснодарского края, их указали 53% и 23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% от общего числа опрошенных. В нескольких субъектах Российской Федерации реализуют продукцию 6% опрошенных, столько же – на уровне рынка Российской Федерации. Оставшиеся респонденты представляют свою деятельность на рынках стран СНГ и дальнего зарубежья.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contextualSpacing/>
        <w:jc w:val="center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Распределение участников опроса по географическим рынкам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highlight w:val="white"/>
        </w:rPr>
        <w:drawing>
          <wp:inline distT="0" distB="0" distL="0" distR="0">
            <wp:extent cx="5694157" cy="1843841"/>
            <wp:effectExtent l="4680" t="4680" r="4680" b="4680"/>
            <wp:docPr id="17" name="Диаграмма 1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Основная продукция бизнеса краснодарских хозяйствующих субъектов</w:t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12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12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i/>
          <w:sz w:val="12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12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highlight w:val="white"/>
        </w:rPr>
        <w:drawing>
          <wp:inline distT="0" distB="0" distL="0" distR="0">
            <wp:extent cx="5594348" cy="1855318"/>
            <wp:effectExtent l="4680" t="4680" r="4680" b="4680"/>
            <wp:docPr id="18" name="Диаграмма 1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Третья часть участников анкетирования оказывают различные виды услуг, пятая часть предпринимателей занимаются производством и реализацией конечной продукции. Сырье и материалы для дальнейшей переработки реализуют 6% респондентов.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Около 37% предпринимателей осуществляют торговлю или дистрибуцию товаров и услуг, произведенных другими компаниями. Реализацией компонентов для производства конечной продукции заняты 6% из числа организаций-участников опроса.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Респонденты также определили наиболее важные ключевые факторы конкурентоспособности производимых товаров, работ и услуг на основном рынке их бизнеса.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Наиболее важными факторами, влияющими на конкурентоспособность производимой продукции, работ, услуг, на протяжении ряда лет производители, как и потребители, продолжают считать её высокое качество и низкую цену.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Ключевые факторы конкурентоспособности производимых товаров, работ, услуг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highlight w:val="white"/>
        </w:rPr>
        <w:drawing>
          <wp:inline distT="0" distB="0" distL="0" distR="0">
            <wp:extent cx="6057899" cy="1746228"/>
            <wp:effectExtent l="4680" t="4680" r="4680" b="4680"/>
            <wp:docPr id="19" name="Диаграмма 1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Меры по повышению конкурентоспособности продукции, 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принятые хозяйствующими субъектами за последние 3 года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4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4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i/>
          <w:sz w:val="24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4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Большинством респондентов для повышения конкурентоспособности производимой продукции в течение последних трёх лет предпринимались те или иные меры, наиболее популярными из которых в течение последних лет являются: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обучение и переподготовка персонала;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приобретение технологий, патентов, лицензий, ноу-хау;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новые способы продвижения продукции;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сокращение затрат на производство/реализацию продукции, не снижая при это объёма производства/реализации;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разработка новых модификаций и форм производимой продукции, расширение ассортимента.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Лишь 11% опрошенных не предпринимали никаких действий по повышению конкурентоспособности своей продукции (работ, услуг).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4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4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i/>
          <w:sz w:val="24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4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highlight w:val="white"/>
        </w:rPr>
        <w:drawing>
          <wp:inline distT="0" distB="0" distL="0" distR="0">
            <wp:extent cx="6143625" cy="1948272"/>
            <wp:effectExtent l="4680" t="4680" r="4680" b="4680"/>
            <wp:docPr id="20" name="Диаграмма 1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Результаты анализа уровня конкуренции хозяйствующими субъектами</w:t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4"/>
          <w:szCs w:val="28"/>
          <w:highlight w:val="white"/>
        </w:rPr>
      </w:pPr>
      <w:r>
        <w:rPr>
          <w:rFonts w:ascii="Times New Roman" w:hAnsi="Times New Roman" w:eastAsia="Times New Roman"/>
          <w:sz w:val="24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4"/>
          <w:szCs w:val="28"/>
          <w:highlight w:val="white"/>
        </w:rPr>
      </w:r>
      <w:r>
        <w:rPr>
          <w:rFonts w:ascii="Times New Roman" w:hAnsi="Times New Roman" w:eastAsia="Times New Roman"/>
          <w:sz w:val="24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Предприниматели охарактеризовали условия ведения бизнеса на своих целевых рынках.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большинстве респонденты отметили, что товарные рынки в муниципальном образовании город Краснодар являются конкурентными, и необход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имо регулярно предпринимать меры по повышению конкурентоспособности продукции/ работ/ услуг, а также постоянно применять новые способы её повышения, не используемые компанией раньше, что конкуренция в сфере их деятельности «высокая», либо «очень высокая».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highlight w:val="white"/>
        </w:rPr>
        <w:drawing>
          <wp:inline distT="0" distB="0" distL="0" distR="0">
            <wp:extent cx="6071234" cy="1501514"/>
            <wp:effectExtent l="4680" t="4680" r="4680" b="4680"/>
            <wp:docPr id="21" name="Диаграмма 1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Результаты анализа количества конкурентов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Относительно количества конкурентов и его изменения в динамике большинство предпринимателей сошлись во мнении, что аналогичную продукцию на их целевом рынке предлагают большое число производителей. Мнения ост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альных участников опроса относительно изменения числа конкурентов на товарных рынках разделились практически поровну: чуть более 50% опрошенных указали на увеличение количества конкурентов на своем товарном рынке за счёт появления новых фирм, представляющи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х аналогичные товары, остальные - что сократилось вследствие ухода иностранных конкурентов с рынка. Таким образом, результаты опроса позволяют сделать вывод, что конкурентная среда на рынках муниципального образования город Краснодар достаточно динамичная.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Устранение административных барьеров в предпр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инимательской деятельности имеет несомненный позитивный макроэкономический эффект. Во-первых, устранение препятствий для входа на рынок оживляет конкуренцию, имеет положительный эффект для потребителя. Во-вторых, административные барьеры ведут к уходу в те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невую экономику. В-третьих, административные барьеры ведут к экономическим потерям потребителей от завышения розничных цен хозяйствующими субъектами вследствие включения в них непроизводственных издержек, связанных с преодолением административных барьеров.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2025 году администрацией муниципального образования город Краснодар был  продолжен курс на  снижение административных  барьеров и развитие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конкуренции.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Анализ наиболее существенных для ведения деятельности или открытия нового бизнеса административных барьеров по данным опроса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 результатам анкетирования видно, что, по-прежнему, основная часть барьеров возникает пр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и ведении предпринимательской деятельности. Основным барьером, мешающими осуществлению предпринимательской деятельности, в 2025 году остаются высокие барьеры доступа к финансовым ресурсам и высокие налоги, сложность получения доступа к земельным участкам.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highlight w:val="white"/>
        </w:rPr>
        <w:drawing>
          <wp:inline distT="0" distB="0" distL="0" distR="0">
            <wp:extent cx="6000632" cy="2749207"/>
            <wp:effectExtent l="4762" t="4762" r="4762" b="4762"/>
            <wp:docPr id="22" name="Диаграмма 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Однако,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следует отметить, что в 2025 году в муниципальном образовании город Краснодар продолжалась активная работа по устранению (снижению) административных барьеров, стимулированию предпринимательской деятельности, привлечению новых участников на товарные рынки.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Изменение уровня административных барьеров 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jc w:val="center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i/>
          <w:sz w:val="28"/>
          <w:szCs w:val="28"/>
          <w:highlight w:val="white"/>
          <w:lang w:eastAsia="ru-RU"/>
        </w:rPr>
        <w:t xml:space="preserve">в течение последних трёх лет</w:t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white"/>
          <w:lang w:eastAsia="ru-RU"/>
        </w:rPr>
        <w:tab/>
      </w:r>
      <w:r>
        <w:rPr>
          <w:highlight w:val="white"/>
        </w:rPr>
        <w:drawing>
          <wp:inline distT="0" distB="0" distL="0" distR="0">
            <wp:extent cx="6066154" cy="1882255"/>
            <wp:effectExtent l="4680" t="4680" r="4680" b="4680"/>
            <wp:docPr id="23" name="Диаграмма 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i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Наиболее существенными препятствиями для расширения действующего бизнеса остаются насыщенность рынков сбыта, нехватка финансовых средств  и высокие начальные издержки.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Ни для кого не секрет, что наличие хорошо развитого малого и среднего предпринимательства обеспечивает ряд неоспоримых преимуществ для э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кономики города, региона, страны. Это создание новых рабочих мест и самозанятость населения. Кроме того, это прирост налогов и увеличение валового внутреннего продукта. Развитие малого предпринимательства – это улучшение качества жизни населения страны, ве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дь небольшие предприятия могут наиболее быстро приспосабливаться к изменениям требований современного рынка. Именно для этого существуют государственные (муниципальные) меры поддержки предпринимателей. И предприниматели, участвующие в опросе, о них знают.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Доступность господдержки для бизнеса смогла оценить треть опрошенных предпринимателей. Причём подавляющее большинство респондентов (82%) указали, что поддержку от государства получить можно, а треть из них — что это процесс, не требующий серьёзных усилий.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муниципальном образовании город Краснодар продолжают решаться задачи по обеспечению прозрачности исполнительной власти.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Для их реализации в администрации муниципального образования город Краснодар налажена система обратной связи с населением – работа с обращениями граждан, активно используются возможности сети Интернет, такие формы р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аботы как комиссионное рассмотрение обращений с выездом на место, личной встречей с заявителем, проведением беседы. Одной из наиболее эффективных форм взаимодействия руководства администрации с населением города остаётся организация личного приёма граждан.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Своевременное принятие решений по обращениям граждан способствует росту и укреплению авторите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та публичной власти, повышает качество публичного управления и оказания государственных услуг. Обращения граждан представляют собой источник информации о реальных потребностях населения, удовлетворение которых призван обеспечивать аппарат публичной власти.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color w:val="000000" w:themeColor="text1"/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Работа с обращениями граждан в администрации муниципального образования город Краснодар осуществляется в полном соответствии с Федеральным законом от 02.05.2006 № 59-ФЗ «О порядке рассмотрения обращений граж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shd w:val="clear" w:color="auto" w:fill="auto"/>
          <w:lang w:eastAsia="ru-RU"/>
        </w:rPr>
        <w:t xml:space="preserve">дан Российской Федерации».</w:t>
      </w:r>
      <w:r>
        <w:rPr>
          <w:color w:val="000000" w:themeColor="text1"/>
          <w:highlight w:val="white"/>
          <w:shd w:val="clear" w:color="auto" w:fill="auto"/>
        </w:rPr>
      </w:r>
      <w:r>
        <w:rPr>
          <w:color w:val="000000" w:themeColor="text1"/>
          <w:highlight w:val="white"/>
          <w:shd w:val="clear" w:color="auto" w:fill="auto"/>
        </w:rPr>
      </w:r>
    </w:p>
    <w:p>
      <w:pPr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color w:val="000000" w:themeColor="text1"/>
          <w:highlight w:val="white"/>
        </w:rPr>
      </w:pPr>
      <w:r>
        <w:rPr>
          <w:color w:val="000000" w:themeColor="text1"/>
          <w:highlight w:val="white"/>
          <w:shd w:val="clear" w:color="auto" w:fill="auto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00"/>
        <w:contextualSpacing/>
        <w:ind w:left="0" w:right="0"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</w:r>
      <w:r>
        <w:rPr>
          <w:highlight w:val="white"/>
        </w:rPr>
        <w:drawing>
          <wp:inline distT="0" distB="0" distL="0" distR="0">
            <wp:extent cx="6115050" cy="2079942"/>
            <wp:effectExtent l="4762" t="4762" r="4762" b="4762"/>
            <wp:docPr id="2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</w:rPr>
      </w:r>
    </w:p>
    <w:p>
      <w:pPr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shd w:val="clear" w:color="auto" w:fill="auto"/>
          <w:lang w:eastAsia="ru-RU"/>
        </w:rPr>
        <w:t xml:space="preserve">В администрацию муниципального образования город Краснодар в 2025 году поступило 45518 письменных обращен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shd w:val="clear" w:color="auto" w:fill="auto"/>
          <w:lang w:eastAsia="ru-RU"/>
        </w:rPr>
        <w:t xml:space="preserve">ий граждан, что на 9,4% меньше, че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shd w:val="clear" w:color="auto" w:fill="auto"/>
          <w:lang w:eastAsia="ru-RU"/>
        </w:rPr>
        <w:t xml:space="preserve">м в 2025 году благодаря постоянной целенаправленной работе по повышению эффективности рассмотрения обращений граждан, своевременному информированию населения о значимых мероприятиях, обеспечения открытости власти, оперативности в решении проблем населения.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shd w:val="clear" w:color="auto" w:fill="auto"/>
          <w:lang w:eastAsia="ru-RU"/>
        </w:rPr>
        <w:t xml:space="preserve">В электронном виде поступило 17618 обращений, из администрации Краснодарского края 7700 обращений. Положительно решено 27,2% письменных обращений граждан.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 целом тематика обращений граждан по сравнению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с 2024 годом существенно не изменилась: по-прежнему, наиболее актуальны вопросы жилищно-коммунального хозяйства, включая жилищные вопросы; граждане проявляли активность по вопросам транспорта и дорожного хозяйства; также актуальны вопросы социальной сферы.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Администрацией муниципального образования город Краснодар постоянно проводятся мероприятия по повышению эффективности работы с обращениями граждан, применению новых форм и методов работы с заявлениями, предложениями, жалобами и запросами граждан.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Положительным резу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льтатам по снижению административных барьеров при получении права на ведение хозяйственной деятельности способствует деятельность многофункциональных центров, предоставляющих услуги физически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м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и юридическим лицам за счёт реализации принципа «одного окна».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Краснодарском МФЦ (10 офисов и отделений) представлены службы и организации федерального, краевого и муниципал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ьного уровня.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За счёт отсутствия «прямого контакта» заявителей с должностными лицами федеральных, региональных и муниципальных органов власти значительно снизился «коррупционный фактор». Кроме того, ежегодно появляются новые виды услуг.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Одним из мероприятий, направленных на снижение административных барьеров при получении доступа товаров на рынки, осуществляемым администрацией муниципа</w:t>
      </w:r>
      <w:r>
        <w:rPr>
          <w:rFonts w:ascii="Times New Roman" w:hAnsi="Times New Roman"/>
          <w:sz w:val="28"/>
          <w:szCs w:val="28"/>
          <w:highlight w:val="white"/>
        </w:rPr>
        <w:t xml:space="preserve">льного образования город Краснодар, является методологическое сопровождение деятельности субъектов малого предпринимательства, социально ориентированных некоммерческих организаций в процедурах муниципальных закупок, осуществление мониторинга таких закупок.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На территории муниципального образования город Краснодар при осуществлении закупок товаров, работ, услуг для муниципальных нужд муни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ципального образования город Краснодар реализуются нормы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котор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ым установлена обязанность заказчиков осуществлять закупки у субъектов малого предпринимательства (СМП) и социально ориентированных некоммерческих организаций (СОНО) в размере не менее чем 25% совокупного объёма годовых закупок в течение 2022 – 2025 годов.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муниципальном образовании город Краснодар обеспечен ежегодный рост доли объём закупок у субъектов малого предпринимательства и социально орие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нтированных некоммерческих организаций.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Так, в 2025 году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доля заключенных муниципальных контрактов конкурентными способами определения поставщиков с субъектами малого и среднего предпринимательства, социально ориентированными некоммерческими организациями составляет 32,57% от совокупного годового объёма закупок.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При подведении итогов проекта «Национальный рейтинг прозрачности закупок 2025» муниципальному образованию город Краснодар в двенадцатый раз присвоен рейтинг – «Гарантированная прозрачность». 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Высокий уровень развития малого и среднего бизнеса является одним из ключевых факторов развития конкуренции.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рамках инфраструктурной и информационной поддержки в целях оказания бесплатных консультационных услуг и помощи квалифицированных специалист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ов по вопросам ведения бизнеса с 2019 года в Краснодаре действует муниципальный центр развития предпринимательства «Платформа». В связи с высоким спросом услуг, оказываемых центром поддержки предпринимательства, в 2022 году открыт филиал МЦРП «Платформа».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За время работы МЦРП «Платформа» более 8 тысяч краснодарских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предпринимателей и жителей Краснодара, планирующих открытие собственного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дела, получили здесь информационно-консультационную, инфраструктурную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поддержку, оказано содействие в создании 242 новых субъектов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предпринимательской деятельности; проведено 83 мастер-классов; разработаны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20 обучающих программ; реализовано 24 обучающих курса; заключено 2252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договора о предоставлении рабочих мест в коворкинге МЦРП «Платформа».</w:t>
      </w:r>
      <w:r>
        <w:rPr>
          <w:highlight w:val="white"/>
        </w:rPr>
      </w:r>
      <w:r>
        <w:rPr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При анализе административных барьеров 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еобхо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димо также отметить значимость антимонопольного комплаенса как приоритетного направления в системе развития конкуренции через его способность выступать в качестве способа предупреждения недопущения и ограничения конкуренции органами исполнительной власти.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 целью укр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епления экономики муниципального образования, дальнейшего развития конкуренции и недопущения монополистической деятельности в муниципальном образовании город Краснодар в 2025 году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на регулярной основе проводился анализ сфер деятельности органов администрации муниципального образования город Краснодар на наличие рисков возможных нарушений антимонопольного законодательства.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Также в качестве мер, необходимых для устранения причин и условий недопущения, ограничения и устранения конк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уренции, проводились мероприятия по снижению комплаенс-рисков. Посредством функционирования антимонопольного комплаенса в муниципальном образовании город Краснодар обеспечивалось снижение требований антимонопольного законодательства и развитие конкуренции.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Оптимизация конкурентной среды в муниципальном образовании город Краснодар посредством сокращения необоснованных административных барьеров направлена на создание максимально благоприятных условий для ведения предпринимательской деятельности,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zh-CN"/>
        </w:rPr>
        <w:t xml:space="preserve">плодотворного сотрудничества с представителями бизнес-сообществ,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что подтверждается показателями инвестиционной активности.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zh-CN"/>
        </w:rPr>
        <w:t xml:space="preserve">Среди принятых мер по привлечению в экономику города инвестиций и улучшению инвестиционного климата особое место занимает регулярное проведение заседаний проектного офиса по сопровождению ин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zh-CN"/>
        </w:rPr>
        <w:t xml:space="preserve">вестиционных проектов на территории муниципального образования город Краснодар.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zh-CN"/>
        </w:rPr>
        <w:t xml:space="preserve">За 2025 год было заключено 20 протоколов о намерениях по взаимодействию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zh-CN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zh-CN"/>
        </w:rPr>
        <w:t xml:space="preserve"> сфере инвестиций на общую сумму 47,13 млрд рублей, из них 9 инвестпроектов – в потребительской сфере, в сфере сельского хозяйства – 2 инвестпроекта, в строительной – 2 проекта, в туристической – 1 проект, 1 проект в спортивной сфере и 5 проектов в промышл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:lang w:eastAsia="zh-CN"/>
        </w:rPr>
        <w:t xml:space="preserve">енной отрасли. В результате реализации этих проектов город получит 5632 рабочих мест.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Раздел 5. Результаты реализации мероприятий «дорожной карты» по содействию развитию конкуренции в муниципальном образовании город Краснодар.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pP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План мероприятий («дорожная карта») по содействию развитию конкуренции в муниципальном образовании город Краснодар утверждё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н распоряжением администрации муниципального образования город Краснодар от 29.01.2020 № 229-р «Об утверждении Плана мероприятий («дорожной карты») по содействию развитию конкуренции в муниципальном образовании город Краснодар» (далее – План мероприятий). 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pP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ab/>
        <w:t xml:space="preserve">В соответствии с распоряжением главы администрации (губернатора) Краснодарского края от 27.12.2021 № 382-р разработана новая «дорожная карта» по содействию развитию конкуренции в муниципальном образовании город Краснода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р на 2022 – 2025 годы (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распоряжение АМОгК от 11.02.2022 № 196-р). Распоряжениями администрации муниципального образования город Краснодар от 16.09.2022 № 512-р, от 21.11.2023 № 582-р, от 23.01.2024 № 14-р и от 26.03.2025 № 116-р в План мероприятий внесены изменения и дополнения.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/>
          <w:sz w:val="28"/>
          <w:szCs w:val="21"/>
          <w:highlight w:val="white"/>
          <w:u w:val="single"/>
          <w:shd w:val="clear" w:color="auto" w:fill="ffffff"/>
        </w:rPr>
      </w:pP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План мероприятий и приложение к нему «Мероприятия стратегических и программных документов» размещены на официальном интернет-портале администрации 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муниципального образования город Краснодар и городской Думы Краснодара: </w:t>
      </w:r>
      <w:hyperlink r:id="rId45" w:tooltip="https://krd.ru/departament-ekonomicheskogo-razvitiya-investitsiy-i-vneshnikh-svyazey/standart-razvitiya-konkurentsii/" w:history="1">
        <w:r>
          <w:rPr>
            <w:rStyle w:val="831"/>
            <w:rFonts w:ascii="Times New Roman" w:hAnsi="Times New Roman"/>
            <w:sz w:val="28"/>
            <w:szCs w:val="28"/>
            <w:highlight w:val="white"/>
          </w:rPr>
          <w:t xml:space="preserve">https://krd.ru/departament-ekonomicheskogo-razvitiya-investitsiy-i-vneshnikh-svyazey/standart-razvitiya-konkurentsii/</w:t>
        </w:r>
      </w:hyperlink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1"/>
          <w:highlight w:val="white"/>
          <w:u w:val="single"/>
          <w:shd w:val="clear" w:color="auto" w:fill="ffffff"/>
        </w:rPr>
      </w:r>
      <w:r>
        <w:rPr>
          <w:rFonts w:ascii="Times New Roman" w:hAnsi="Times New Roman"/>
          <w:sz w:val="28"/>
          <w:szCs w:val="21"/>
          <w:highlight w:val="white"/>
          <w:u w:val="single"/>
          <w:shd w:val="clear" w:color="auto" w:fill="ffffff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pP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План мероприятий содержит 152 мероприятия (84 ключевых показателя), в том числе 17 самостоятельно включённых мероприятий (20 ключевых показателей).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pP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Перечень товарных рынков для содействия развитию конкуренции в муниципальном образовании город Краснодар включает 42 рынка, в том числе 11 индивидуальных: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рынок пищевой продукции;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ab/>
        <w:t xml:space="preserve">рынок услуг общественного питания; р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ынок бытового обслуживания населения;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рынок объектов придорожного сервиса;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рынок услуг в сфере культуры;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рынок театрально-концертного обслуживания населения;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рынок экскурсионного обслуживания населения;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рынок финансовых услуг;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рынок химической промышленности;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рынок нефтепродуктов;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рынок креативных индустрий.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1"/>
          <w:highlight w:val="white"/>
          <w:shd w:val="clear" w:color="auto" w:fill="ffffff"/>
        </w:rPr>
        <w:t xml:space="preserve">Выбор индивидуальных рынков для содействия развитию конкуренции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 и обеспечение достижения целевых показателей на них обусловлены необходимостью достижения мультипликативных эффектов и стимулирования интенсивного развития смежных рынков.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pP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Развитие ситуации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 на рынке пищевой продукции затрагивает значительное число потребителей и хозяйствующих субъектов.  Выбор рынка связан с актуальностью развития пищевой отрасли промышленности, обусловленного необходимостью формирования и развития системы импортозамещения. 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pP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Услуги в социально-культурной сфере создаются сегодня зачастую на основе принципа к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омплиментарности. На стыке нескольких сфер возможно создание и развитие новых услуг. Например, прекрасные возможности в развитии рынка услуг в сфере культуры дает соединение музея как традиционного социокультурного института со следующими направлениями: ту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ризм, деятельность образовательных учреждений, досуговая сфера, торговля, информационные услуги. Это, в конечном итоге, способствует повышению инвестиционной привлекательности муниципального образования, что определило выбор рынка для развития конкуренции.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pP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В современном мире люди испытывают постоянные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 стрессы, перегружены на работе, устают от бытовых проблем. Организации культуры должны дать им возможность отдохнуть, отвлечься от проблем. Общение с «прекрасным» или «познавательным» должно радовать людей, давать им позитивные эмоциональные переживания и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 новые впечатления. Обеспечение максимальной доступности для граждан культурных благ – один из показателей повышения качества жизни людей, в связи с чем возникает необходимость в содействии развитию конкуренции на рынке театрально-концертного обслуживания.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pP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Краснодар – центр Юга России привлекательный для туризма и отдыха ежегодно принимает несколько сотен тысяч туристов, многие из них на автомобилях. С целью повышения инвестиционной, туристической привлекательности муниципального образования 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город Краснодар появляются новые сертифицированные гостиницы, предприятия общественного питания и бытовых услуг, развивается транспортная инфраструктура и транспортное обслуживание, налаживается производство и продажа сувениров, осуществляется обучение гид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ов. Как следствие, происходит ускоренное развитие малого и среднего бизнеса, повышение самозанятости населения. В этой связи рынки экскурсионного обслуживания населения, объектов придорожного сервиса, услуг общественного питания и бытового обслуживания нас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еления определены для содействия развитию конкуренции. Кроме того, развитие рынка общественного питания создаёт необходимые условия для удовлетворения потребностей населения и гостей города в полноценном питании по месту работы, учебы, жительства и отдыха.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pP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Создание 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условий для развития конкуренции на рынке финансовых услуг способствует повышению эффективности производства и перераспределения экономических ресурсов, так как конкуренция побуждает финансовые и страховые организации к эффективным действиям на рынке, заст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авляя предлагать клиентам более широкий ассортимент продуктов и услуг по более привлекательным ценам и лучшего качества, поэтому рынок финансовых услуг определён в муниципальном образовании город Краснодар в качестве приоритетного для развития конкуренции.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pP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Химическая промышленность Краснодара – быстро развивающаяся отрасль, обеспечивающая многие отрасли промышленности и сельское хозяйство сырьем, социально-ориентированной продукцией; способствующая формированию прогрессивной структуры производст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ва и потребления, развитию новейших отраслей и направлений; обеспечивающая экономию и сохранение жизненно важных ресурсов, повышение производительности труда в смежных отраслях. Это обусловило выбор рынка химической промышленности для развития конкуренции.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pP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Рынок нефтепродуктов имеет особое значение, т.к. повышение цен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 на нефтепродукты приводит к увеличению транспортных издержек и, соответственно, цен на продукцию на всех товарных рынках города. И, учитывая рост потребностей организаций и населения в нефтепродуктах, этот рынок выбран для содействия развитию конкуренции.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pP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Развит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ие рынка креативных индустрий является одним из отраслевых приоритетов Стратегии социально-экономического развития муниципального образования город Краснодар до 2030 года. В целях развития высокотехнологичных отраслей промышленности, создания высокопроизво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дительных и высокооплачиваемых рабочих мест, формирования информационной среды, способствующей появлению новых идей, привлечения конкурентных инвестиций в качестве индивидуального рынка для содействия развитию конкуренции выбран рыно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к креативных индустрий.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szCs w:val="21"/>
          <w:highlight w:val="white"/>
          <w:shd w:val="clear" w:color="auto" w:fill="auto"/>
        </w:rPr>
        <w:t xml:space="preserve">Практически все годовые значения ключевых показателей Плана достигнуты, запланированные на 2025 год системные и программные мероприятия Плана выполнены.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/>
          <w:b/>
          <w:i/>
          <w:sz w:val="28"/>
          <w:szCs w:val="21"/>
          <w:highlight w:val="white"/>
          <w:shd w:val="clear" w:color="auto" w:fill="ffffff"/>
        </w:rPr>
      </w:pP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Информация о д</w:t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  <w:t xml:space="preserve">остижении годовых значений ключевых показателей по содействию развитию конкуренции на товарных рынках представлена </w:t>
      </w:r>
      <w:r>
        <w:rPr>
          <w:rFonts w:ascii="Times New Roman" w:hAnsi="Times New Roman"/>
          <w:b/>
          <w:i/>
          <w:sz w:val="28"/>
          <w:szCs w:val="21"/>
          <w:highlight w:val="white"/>
          <w:shd w:val="clear" w:color="auto" w:fill="ffffff"/>
        </w:rPr>
        <w:t xml:space="preserve">в приложении № 2 к отчёту,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1"/>
          <w:highlight w:val="white"/>
          <w:shd w:val="clear" w:color="auto" w:fill="ffffff"/>
        </w:rPr>
        <w:t xml:space="preserve">информация об исполнении системных мероприятий Плана представлена</w:t>
      </w:r>
      <w:r>
        <w:rPr>
          <w:rFonts w:ascii="Times New Roman" w:hAnsi="Times New Roman"/>
          <w:b/>
          <w:i/>
          <w:sz w:val="28"/>
          <w:szCs w:val="21"/>
          <w:highlight w:val="white"/>
          <w:shd w:val="clear" w:color="auto" w:fill="ffffff"/>
        </w:rPr>
        <w:t xml:space="preserve"> в приложении № 3 к отчёту.</w:t>
      </w:r>
      <w:r>
        <w:rPr>
          <w:rFonts w:ascii="Times New Roman" w:hAnsi="Times New Roman"/>
          <w:b/>
          <w:i/>
          <w:sz w:val="28"/>
          <w:szCs w:val="21"/>
          <w:highlight w:val="white"/>
          <w:shd w:val="clear" w:color="auto" w:fill="ffffff"/>
        </w:rPr>
      </w:r>
      <w:r>
        <w:rPr>
          <w:rFonts w:ascii="Times New Roman" w:hAnsi="Times New Roman"/>
          <w:b/>
          <w:i/>
          <w:sz w:val="28"/>
          <w:szCs w:val="21"/>
          <w:highlight w:val="white"/>
          <w:shd w:val="clear" w:color="auto" w:fill="ffffff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pP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1"/>
          <w:highlight w:val="white"/>
          <w:shd w:val="clear" w:color="auto" w:fill="ffffff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shd w:val="clear" w:color="auto" w:fill="auto"/>
          <w:lang w:eastAsia="ru-RU"/>
        </w:rPr>
        <w:t xml:space="preserve">Раздел 6. Сведения о лучших региональных практиках содействия развитию конкуренции, внедрённых в муниципальном образовании город Краснодар в 2024 году.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  <w:shd w:val="clear" w:color="auto" w:fill="auto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shd w:val="clear" w:color="auto" w:fill="auto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Указом Президента Российской Федерации от 21.07.2020 № 474 «О национальных целях развития Российской Федерации на период до 2030 года» определены 5 национальных целей развития Российской Федерации: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сохранение населения, здоровье и благополучие людей;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возможности для самореализации и развития талантов;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комфортная и безопасная среда для жизни;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достойный, эффективный труд и успешное предпринимательство;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цифровая трансформация.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Достижение указанных национальных целей является многоаспектной задачей, решение которой в значительной степени зависит от эффективности проведения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государственной политики по широкому спектру направлений - от макроэкономической политики, создания благоприятного инвестиционного климата, снижения административных и инфраструктурных барьеров до защиты прав граждан и региональной/муниципальной политики.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С целью дальнейшего развития малого и среднего предпринимательства, создания эффективной конкурентной среды для бизнеса, условий для инновационного развития, содействия формированию бла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гоприятного климата, оптимизации взаимодействия администрации муниципального образования город Краснодар с хозяйствующими субъектами на территории муниципального образования город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Краснодар, повышения социальной активности, а также стремления в условиях ко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нкуренции улучшать благосостояние и качество жизни граждан, реализовывалась практика,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которую целесообразно включить в перечень региональных практик как лучшую практику по реализации Национального плана развития конкуренции в Российской Федерации: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рганизация участия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зарегистрированных на территории муници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пального образования город Краснодар, в «фестивале российских брендов»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Описание практики представлено </w:t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 приложении № 4 отчёта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. 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color w:val="000000"/>
          <w:highlight w:val="white"/>
          <w:shd w:val="clear" w:color="auto" w:fill="auto"/>
        </w:rPr>
      </w:pPr>
      <w:r>
        <w:rPr>
          <w:color w:val="000000"/>
          <w:highlight w:val="white"/>
          <w:shd w:val="clear" w:color="auto" w:fill="auto"/>
        </w:rPr>
      </w:r>
      <w:r>
        <w:rPr>
          <w:color w:val="000000"/>
          <w:highlight w:val="white"/>
          <w:shd w:val="clear" w:color="auto" w:fill="auto"/>
        </w:rPr>
      </w:r>
      <w:r>
        <w:rPr>
          <w:color w:val="000000"/>
          <w:highlight w:val="white"/>
          <w:shd w:val="clear" w:color="auto" w:fill="auto"/>
        </w:rPr>
      </w:r>
    </w:p>
    <w:p>
      <w:pPr>
        <w:pStyle w:val="800"/>
        <w:contextualSpacing/>
        <w:ind w:firstLine="709"/>
        <w:jc w:val="center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Заключение.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Конкуренция является необходимым и определяющим условием функционирования рыночной экономики, развития предпринимательской деятельности.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Во взаимодействии с инвесторами политика муниципального образования город Краснодар направлена на снижение административных барьеров, минимизацию коррупционных рисков, 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также на развитие системы «одного окна» и перехода на предоставление государственных и муниципальных услуг в электронном виде. Для всех инвесторов в городе действует принцип прозрачности и доступности информации, необходимой для осуществления инвестиционно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й деятельности. Принятые в муниципальном образовании город Краснодар нормативные правовые акты в области инвестиционной деятельности, в области содействия малому и среднему бизнесу на территории муниципального образования способствуют развитию конкуренции.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jc w:val="both"/>
        <w:spacing w:before="0" w:after="0" w:line="276" w:lineRule="auto"/>
        <w:tabs>
          <w:tab w:val="left" w:pos="0" w:leader="none"/>
          <w:tab w:val="clear" w:pos="708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ab/>
        <w:t xml:space="preserve">Администрацией муниципального образования город Краснодар с целью развития конкурентной среды на рынках товаров и услуг города на постоянной основе выполняются мероприятия по: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сокращению административных барьеров, исключению фактов действий, направленных на ограничение конкуренции;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внедрению электронных технологий, направленных на автоматизацию и упрощение взаимодействия участников рынка с регулирующими органами;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развитию муниципального заказа, обеспечению прозрачности процедур распределения муниципальных ресурсов;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развитию малого и среднего предпринимательства;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развитию межрегионального сотрудничества;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сокращению барьеров входа на рынок;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усилению конкурентных преимуществ отдельных отраслей экономики.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00"/>
        <w:contextualSpacing/>
        <w:ind w:firstLine="709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Работа администрации муниципального образования город Краснодар и в дальнейшем будет направлена на создание оптимальных условий для развития конкуренции в отраслях экономики города.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after="0" w:line="276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i/>
          <w:iCs/>
          <w:color w:val="000000"/>
          <w:sz w:val="24"/>
          <w:szCs w:val="24"/>
          <w:highlight w:val="white"/>
          <w:lang w:eastAsia="ru-RU"/>
        </w:rPr>
        <w:t xml:space="preserve">Примечание: В связи переносом срока предоставления годового отчета с 10.02.2026 на 30.01.2026 объёмные статистические показатели приведены за 11 месяцев 2025 года      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077" w:left="1701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ahoma">
    <w:panose1 w:val="020B0604030504040204"/>
  </w:font>
  <w:font w:name="Noto Sans Devanagari">
    <w:panose1 w:val="020B0502040504020204"/>
  </w:font>
  <w:font w:name="Cambria">
    <w:panose1 w:val="02040503050406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jc w:val="center"/>
      <w:spacing w:before="0" w:after="160"/>
      <w:rPr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38</w:t>
    </w:r>
    <w:r>
      <w:rPr>
        <w:rFonts w:ascii="Times New Roman" w:hAnsi="Times New Roman"/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0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801">
    <w:name w:val="Heading 1"/>
    <w:basedOn w:val="800"/>
    <w:qFormat/>
    <w:pPr>
      <w:numPr>
        <w:ilvl w:val="0"/>
        <w:numId w:val="0"/>
      </w:numPr>
      <w:keepLines/>
      <w:keepNext/>
      <w:spacing w:before="240" w:after="0"/>
      <w:outlineLvl w:val="0"/>
    </w:pPr>
    <w:rPr>
      <w:rFonts w:ascii="Cambria" w:hAnsi="Cambria" w:eastAsia="Arial" w:cs="Arial"/>
      <w:color w:val="365f91" w:themeColor="accent1" w:themeShade="BF"/>
      <w:sz w:val="32"/>
      <w:szCs w:val="32"/>
    </w:rPr>
  </w:style>
  <w:style w:type="paragraph" w:styleId="802">
    <w:name w:val="Heading 2"/>
    <w:basedOn w:val="800"/>
    <w:qFormat/>
    <w:pPr>
      <w:numPr>
        <w:ilvl w:val="0"/>
        <w:numId w:val="0"/>
      </w:numPr>
      <w:keepLines/>
      <w:keepNext/>
      <w:spacing w:before="40" w:after="0"/>
      <w:outlineLvl w:val="1"/>
    </w:pPr>
    <w:rPr>
      <w:rFonts w:ascii="Cambria" w:hAnsi="Cambria" w:eastAsia="Arial" w:cs="Arial"/>
      <w:color w:val="365f91" w:themeColor="accent1" w:themeShade="BF"/>
      <w:sz w:val="26"/>
      <w:szCs w:val="26"/>
    </w:rPr>
  </w:style>
  <w:style w:type="paragraph" w:styleId="803">
    <w:name w:val="Heading 3"/>
    <w:basedOn w:val="800"/>
    <w:qFormat/>
    <w:pPr>
      <w:numPr>
        <w:ilvl w:val="0"/>
        <w:numId w:val="0"/>
      </w:num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4">
    <w:name w:val="Heading 4"/>
    <w:basedOn w:val="800"/>
    <w:qFormat/>
    <w:pPr>
      <w:numPr>
        <w:ilvl w:val="0"/>
        <w:numId w:val="0"/>
      </w:num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5">
    <w:name w:val="Heading 5"/>
    <w:basedOn w:val="800"/>
    <w:qFormat/>
    <w:pPr>
      <w:numPr>
        <w:ilvl w:val="0"/>
        <w:numId w:val="0"/>
      </w:num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6">
    <w:name w:val="Heading 6"/>
    <w:basedOn w:val="800"/>
    <w:qFormat/>
    <w:pPr>
      <w:numPr>
        <w:ilvl w:val="0"/>
        <w:numId w:val="0"/>
      </w:num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7">
    <w:name w:val="Heading 7"/>
    <w:basedOn w:val="800"/>
    <w:qFormat/>
    <w:pPr>
      <w:numPr>
        <w:ilvl w:val="0"/>
        <w:numId w:val="0"/>
      </w:num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8">
    <w:name w:val="Heading 8"/>
    <w:basedOn w:val="800"/>
    <w:qFormat/>
    <w:pPr>
      <w:numPr>
        <w:ilvl w:val="0"/>
        <w:numId w:val="0"/>
      </w:num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9">
    <w:name w:val="Heading 9"/>
    <w:basedOn w:val="800"/>
    <w:qFormat/>
    <w:pPr>
      <w:numPr>
        <w:ilvl w:val="0"/>
        <w:numId w:val="0"/>
      </w:num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0">
    <w:name w:val="Heading 1 Char"/>
    <w:basedOn w:val="830"/>
    <w:qFormat/>
    <w:rPr>
      <w:rFonts w:ascii="Arial" w:hAnsi="Arial" w:eastAsia="Arial" w:cs="Arial"/>
      <w:sz w:val="40"/>
      <w:szCs w:val="40"/>
    </w:rPr>
  </w:style>
  <w:style w:type="character" w:styleId="811">
    <w:name w:val="Heading 2 Char"/>
    <w:basedOn w:val="830"/>
    <w:qFormat/>
    <w:rPr>
      <w:rFonts w:ascii="Arial" w:hAnsi="Arial" w:eastAsia="Arial" w:cs="Arial"/>
      <w:sz w:val="34"/>
    </w:rPr>
  </w:style>
  <w:style w:type="character" w:styleId="812">
    <w:name w:val="Heading 3 Char"/>
    <w:basedOn w:val="830"/>
    <w:qFormat/>
    <w:rPr>
      <w:rFonts w:ascii="Arial" w:hAnsi="Arial" w:eastAsia="Arial" w:cs="Arial"/>
      <w:sz w:val="30"/>
      <w:szCs w:val="30"/>
    </w:rPr>
  </w:style>
  <w:style w:type="character" w:styleId="813">
    <w:name w:val="Heading 4 Char"/>
    <w:basedOn w:val="830"/>
    <w:qFormat/>
    <w:rPr>
      <w:rFonts w:ascii="Arial" w:hAnsi="Arial" w:eastAsia="Arial" w:cs="Arial"/>
      <w:b/>
      <w:bCs/>
      <w:sz w:val="26"/>
      <w:szCs w:val="26"/>
    </w:rPr>
  </w:style>
  <w:style w:type="character" w:styleId="814">
    <w:name w:val="Heading 5 Char"/>
    <w:basedOn w:val="830"/>
    <w:qFormat/>
    <w:rPr>
      <w:rFonts w:ascii="Arial" w:hAnsi="Arial" w:eastAsia="Arial" w:cs="Arial"/>
      <w:b/>
      <w:bCs/>
      <w:sz w:val="24"/>
      <w:szCs w:val="24"/>
    </w:rPr>
  </w:style>
  <w:style w:type="character" w:styleId="815">
    <w:name w:val="Heading 6 Char"/>
    <w:basedOn w:val="830"/>
    <w:qFormat/>
    <w:rPr>
      <w:rFonts w:ascii="Arial" w:hAnsi="Arial" w:eastAsia="Arial" w:cs="Arial"/>
      <w:b/>
      <w:bCs/>
      <w:sz w:val="22"/>
      <w:szCs w:val="22"/>
    </w:rPr>
  </w:style>
  <w:style w:type="character" w:styleId="816">
    <w:name w:val="Heading 7 Char"/>
    <w:basedOn w:val="830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7">
    <w:name w:val="Heading 8 Char"/>
    <w:basedOn w:val="830"/>
    <w:qFormat/>
    <w:rPr>
      <w:rFonts w:ascii="Arial" w:hAnsi="Arial" w:eastAsia="Arial" w:cs="Arial"/>
      <w:i/>
      <w:iCs/>
      <w:sz w:val="22"/>
      <w:szCs w:val="22"/>
    </w:rPr>
  </w:style>
  <w:style w:type="character" w:styleId="818">
    <w:name w:val="Heading 9 Char"/>
    <w:basedOn w:val="830"/>
    <w:qFormat/>
    <w:rPr>
      <w:rFonts w:ascii="Arial" w:hAnsi="Arial" w:eastAsia="Arial" w:cs="Arial"/>
      <w:i/>
      <w:iCs/>
      <w:sz w:val="21"/>
      <w:szCs w:val="21"/>
    </w:rPr>
  </w:style>
  <w:style w:type="character" w:styleId="819">
    <w:name w:val="Title Char"/>
    <w:basedOn w:val="830"/>
    <w:qFormat/>
    <w:rPr>
      <w:sz w:val="48"/>
      <w:szCs w:val="48"/>
    </w:rPr>
  </w:style>
  <w:style w:type="character" w:styleId="820">
    <w:name w:val="Subtitle Char"/>
    <w:basedOn w:val="830"/>
    <w:qFormat/>
    <w:rPr>
      <w:sz w:val="24"/>
      <w:szCs w:val="24"/>
    </w:rPr>
  </w:style>
  <w:style w:type="character" w:styleId="821">
    <w:name w:val="Quote Char"/>
    <w:qFormat/>
    <w:rPr>
      <w:i/>
    </w:rPr>
  </w:style>
  <w:style w:type="character" w:styleId="822">
    <w:name w:val="Intense Quote Char"/>
    <w:qFormat/>
    <w:rPr>
      <w:i/>
    </w:rPr>
  </w:style>
  <w:style w:type="character" w:styleId="823">
    <w:name w:val="Header Char"/>
    <w:basedOn w:val="830"/>
    <w:qFormat/>
  </w:style>
  <w:style w:type="character" w:styleId="824">
    <w:name w:val="Footer Char"/>
    <w:basedOn w:val="830"/>
    <w:qFormat/>
  </w:style>
  <w:style w:type="character" w:styleId="825">
    <w:name w:val="Caption Char"/>
    <w:qFormat/>
  </w:style>
  <w:style w:type="character" w:styleId="826">
    <w:name w:val="Footnote Text Char"/>
    <w:qFormat/>
    <w:rPr>
      <w:sz w:val="18"/>
    </w:rPr>
  </w:style>
  <w:style w:type="character" w:styleId="827">
    <w:name w:val="Endnote Text Char"/>
    <w:qFormat/>
    <w:rPr>
      <w:sz w:val="20"/>
    </w:rPr>
  </w:style>
  <w:style w:type="character" w:styleId="828">
    <w:name w:val="Символ концевой сноски"/>
    <w:qFormat/>
    <w:rPr>
      <w:vertAlign w:val="superscript"/>
    </w:rPr>
  </w:style>
  <w:style w:type="character" w:styleId="829">
    <w:name w:val="endnote reference"/>
    <w:rPr>
      <w:vertAlign w:val="superscript"/>
    </w:rPr>
  </w:style>
  <w:style w:type="character" w:styleId="830" w:default="1">
    <w:name w:val="Default Paragraph Font"/>
    <w:qFormat/>
  </w:style>
  <w:style w:type="character" w:styleId="831">
    <w:name w:val="Hyperlink"/>
    <w:rPr>
      <w:color w:val="0000ff"/>
      <w:u w:val="single"/>
    </w:rPr>
  </w:style>
  <w:style w:type="character" w:styleId="832">
    <w:name w:val="Текст выноски Знак"/>
    <w:basedOn w:val="830"/>
    <w:qFormat/>
    <w:rPr>
      <w:rFonts w:ascii="Tahoma" w:hAnsi="Tahoma" w:eastAsia="Calibri" w:cs="Tahoma"/>
      <w:sz w:val="16"/>
      <w:szCs w:val="16"/>
    </w:rPr>
  </w:style>
  <w:style w:type="character" w:styleId="833">
    <w:name w:val="FollowedHyperlink"/>
    <w:basedOn w:val="830"/>
    <w:rPr>
      <w:color w:val="800080" w:themeColor="followedHyperlink"/>
      <w:u w:val="single"/>
    </w:rPr>
  </w:style>
  <w:style w:type="character" w:styleId="834">
    <w:name w:val="Верхний колонтитул Знак"/>
    <w:basedOn w:val="830"/>
    <w:qFormat/>
    <w:rPr>
      <w:rFonts w:ascii="Calibri" w:hAnsi="Calibri" w:eastAsia="Calibri" w:cs="Times New Roman"/>
    </w:rPr>
  </w:style>
  <w:style w:type="character" w:styleId="835">
    <w:name w:val="Нижний колонтитул Знак"/>
    <w:basedOn w:val="830"/>
    <w:qFormat/>
    <w:rPr>
      <w:rFonts w:ascii="Calibri" w:hAnsi="Calibri" w:eastAsia="Calibri" w:cs="Times New Roman"/>
    </w:rPr>
  </w:style>
  <w:style w:type="character" w:styleId="836">
    <w:name w:val="Основной текст_"/>
    <w:qFormat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837">
    <w:name w:val="apple-converted-space"/>
    <w:qFormat/>
  </w:style>
  <w:style w:type="character" w:styleId="838">
    <w:name w:val="Strong"/>
    <w:qFormat/>
    <w:rPr>
      <w:b/>
      <w:bCs/>
    </w:rPr>
  </w:style>
  <w:style w:type="character" w:styleId="839">
    <w:name w:val="Основной текст Знак"/>
    <w:basedOn w:val="830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Текст сноски Знак"/>
    <w:basedOn w:val="830"/>
    <w:qFormat/>
    <w:rPr>
      <w:rFonts w:eastAsia="Arial"/>
      <w:sz w:val="20"/>
      <w:szCs w:val="20"/>
      <w:lang w:eastAsia="ru-RU"/>
    </w:rPr>
  </w:style>
  <w:style w:type="character" w:styleId="841">
    <w:name w:val="Символ сноски"/>
    <w:qFormat/>
    <w:rPr>
      <w:vertAlign w:val="superscript"/>
    </w:rPr>
  </w:style>
  <w:style w:type="character" w:styleId="842">
    <w:name w:val="footnote reference"/>
    <w:rPr>
      <w:vertAlign w:val="superscript"/>
    </w:rPr>
  </w:style>
  <w:style w:type="character" w:styleId="843">
    <w:name w:val="Заголовок 1 Знак"/>
    <w:basedOn w:val="830"/>
    <w:qFormat/>
    <w:rPr>
      <w:rFonts w:ascii="Cambria" w:hAnsi="Cambria" w:eastAsia="Arial" w:cs="Arial"/>
      <w:color w:val="365f91" w:themeColor="accent1" w:themeShade="BF"/>
      <w:sz w:val="32"/>
      <w:szCs w:val="32"/>
    </w:rPr>
  </w:style>
  <w:style w:type="character" w:styleId="844">
    <w:name w:val="Основной текст с отступом Знак"/>
    <w:basedOn w:val="83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5">
    <w:name w:val="Заголовок 2 Знак"/>
    <w:basedOn w:val="830"/>
    <w:qFormat/>
    <w:rPr>
      <w:rFonts w:ascii="Cambria" w:hAnsi="Cambria" w:eastAsia="Arial" w:cs="Arial"/>
      <w:color w:val="365f91" w:themeColor="accent1" w:themeShade="BF"/>
      <w:sz w:val="26"/>
      <w:szCs w:val="26"/>
    </w:rPr>
  </w:style>
  <w:style w:type="paragraph" w:styleId="846">
    <w:name w:val="Заголовок"/>
    <w:basedOn w:val="800"/>
    <w:next w:val="847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47">
    <w:name w:val="Body Text"/>
    <w:basedOn w:val="800"/>
    <w:pPr>
      <w:spacing w:before="0"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8">
    <w:name w:val="List"/>
    <w:basedOn w:val="847"/>
    <w:rPr>
      <w:rFonts w:ascii="PT Astra Serif" w:hAnsi="PT Astra Serif" w:cs="Noto Sans Devanagari"/>
    </w:rPr>
  </w:style>
  <w:style w:type="paragraph" w:styleId="849">
    <w:name w:val="Caption"/>
    <w:basedOn w:val="800"/>
    <w:link w:val="825"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50">
    <w:name w:val="Указатель"/>
    <w:basedOn w:val="800"/>
    <w:qFormat/>
    <w:pPr>
      <w:suppressLineNumbers/>
    </w:pPr>
    <w:rPr>
      <w:rFonts w:ascii="PT Astra Serif" w:hAnsi="PT Astra Serif" w:cs="Noto Sans Devanagari"/>
    </w:rPr>
  </w:style>
  <w:style w:type="paragraph" w:styleId="851">
    <w:name w:val="No Spacing"/>
    <w:qFormat/>
    <w:pPr>
      <w:jc w:val="left"/>
      <w:spacing w:before="0" w:after="0" w:line="240" w:lineRule="auto"/>
      <w:widowControl/>
    </w:pPr>
    <w:rPr>
      <w:rFonts w:ascii="Calibri" w:hAnsi="Calibri" w:eastAsia="Calibri" w:cs="Arial"/>
      <w:color w:val="auto"/>
      <w:sz w:val="22"/>
      <w:szCs w:val="22"/>
      <w:lang w:val="ru-RU" w:eastAsia="en-US" w:bidi="ar-SA"/>
    </w:rPr>
  </w:style>
  <w:style w:type="paragraph" w:styleId="852">
    <w:name w:val="Title"/>
    <w:basedOn w:val="800"/>
    <w:qFormat/>
    <w:pPr>
      <w:contextualSpacing/>
      <w:spacing w:before="300" w:after="200"/>
    </w:pPr>
    <w:rPr>
      <w:sz w:val="48"/>
      <w:szCs w:val="48"/>
    </w:rPr>
  </w:style>
  <w:style w:type="paragraph" w:styleId="853">
    <w:name w:val="Subtitle"/>
    <w:basedOn w:val="800"/>
    <w:qFormat/>
    <w:pPr>
      <w:spacing w:before="200" w:after="200"/>
    </w:pPr>
    <w:rPr>
      <w:sz w:val="24"/>
      <w:szCs w:val="24"/>
    </w:rPr>
  </w:style>
  <w:style w:type="paragraph" w:styleId="854">
    <w:name w:val="Quote"/>
    <w:basedOn w:val="800"/>
    <w:qFormat/>
    <w:pPr>
      <w:ind w:left="720" w:right="720"/>
    </w:pPr>
    <w:rPr>
      <w:i/>
    </w:rPr>
  </w:style>
  <w:style w:type="paragraph" w:styleId="855">
    <w:name w:val="Intense Quote"/>
    <w:basedOn w:val="800"/>
    <w:qFormat/>
    <w:pPr>
      <w:ind w:left="720" w:right="72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6">
    <w:name w:val="endnote text"/>
    <w:basedOn w:val="800"/>
    <w:pPr>
      <w:spacing w:before="0" w:after="0" w:line="240" w:lineRule="auto"/>
    </w:pPr>
    <w:rPr>
      <w:sz w:val="20"/>
    </w:rPr>
  </w:style>
  <w:style w:type="paragraph" w:styleId="857">
    <w:name w:val="toc 1"/>
    <w:basedOn w:val="800"/>
    <w:pPr>
      <w:ind w:left="0" w:right="0" w:firstLine="0"/>
      <w:spacing w:before="0" w:after="57"/>
    </w:pPr>
  </w:style>
  <w:style w:type="paragraph" w:styleId="858">
    <w:name w:val="toc 2"/>
    <w:basedOn w:val="800"/>
    <w:pPr>
      <w:ind w:left="283" w:right="0" w:firstLine="0"/>
      <w:spacing w:before="0" w:after="57"/>
    </w:pPr>
  </w:style>
  <w:style w:type="paragraph" w:styleId="859">
    <w:name w:val="toc 3"/>
    <w:basedOn w:val="800"/>
    <w:pPr>
      <w:ind w:left="567" w:right="0" w:firstLine="0"/>
      <w:spacing w:before="0" w:after="57"/>
    </w:pPr>
  </w:style>
  <w:style w:type="paragraph" w:styleId="860">
    <w:name w:val="toc 4"/>
    <w:basedOn w:val="800"/>
    <w:pPr>
      <w:ind w:left="850" w:right="0" w:firstLine="0"/>
      <w:spacing w:before="0" w:after="57"/>
    </w:pPr>
  </w:style>
  <w:style w:type="paragraph" w:styleId="861">
    <w:name w:val="toc 5"/>
    <w:basedOn w:val="800"/>
    <w:pPr>
      <w:ind w:left="1134" w:right="0" w:firstLine="0"/>
      <w:spacing w:before="0" w:after="57"/>
    </w:pPr>
  </w:style>
  <w:style w:type="paragraph" w:styleId="862">
    <w:name w:val="toc 6"/>
    <w:basedOn w:val="800"/>
    <w:pPr>
      <w:ind w:left="1417" w:right="0" w:firstLine="0"/>
      <w:spacing w:before="0" w:after="57"/>
    </w:pPr>
  </w:style>
  <w:style w:type="paragraph" w:styleId="863">
    <w:name w:val="toc 7"/>
    <w:basedOn w:val="800"/>
    <w:pPr>
      <w:ind w:left="1701" w:right="0" w:firstLine="0"/>
      <w:spacing w:before="0" w:after="57"/>
    </w:pPr>
  </w:style>
  <w:style w:type="paragraph" w:styleId="864">
    <w:name w:val="toc 8"/>
    <w:basedOn w:val="800"/>
    <w:pPr>
      <w:ind w:left="1984" w:right="0" w:firstLine="0"/>
      <w:spacing w:before="0" w:after="57"/>
    </w:pPr>
  </w:style>
  <w:style w:type="paragraph" w:styleId="865">
    <w:name w:val="toc 9"/>
    <w:basedOn w:val="800"/>
    <w:pPr>
      <w:ind w:left="2268" w:right="0" w:firstLine="0"/>
      <w:spacing w:before="0" w:after="57"/>
    </w:pPr>
  </w:style>
  <w:style w:type="paragraph" w:styleId="866">
    <w:name w:val="Index Heading"/>
    <w:basedOn w:val="846"/>
  </w:style>
  <w:style w:type="paragraph" w:styleId="867">
    <w:name w:val="TOC Heading"/>
    <w:qFormat/>
    <w:pPr>
      <w:jc w:val="left"/>
      <w:spacing w:before="0" w:after="200" w:line="276" w:lineRule="auto"/>
      <w:widowControl/>
    </w:pPr>
    <w:rPr>
      <w:rFonts w:ascii="Calibri" w:hAnsi="Calibri" w:eastAsia="Calibri" w:cs="Arial"/>
      <w:color w:val="auto"/>
      <w:sz w:val="22"/>
      <w:szCs w:val="22"/>
      <w:lang w:val="ru-RU" w:eastAsia="en-US" w:bidi="ar-SA"/>
    </w:rPr>
  </w:style>
  <w:style w:type="paragraph" w:styleId="868">
    <w:name w:val="table of figures"/>
    <w:basedOn w:val="800"/>
    <w:pPr>
      <w:spacing w:before="0" w:after="0"/>
    </w:pPr>
  </w:style>
  <w:style w:type="paragraph" w:styleId="869">
    <w:name w:val="Balloon Text"/>
    <w:basedOn w:val="800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70">
    <w:name w:val="ConsPlusNormal"/>
    <w:qFormat/>
    <w:pPr>
      <w:jc w:val="left"/>
      <w:spacing w:before="0" w:after="0" w:line="240" w:lineRule="auto"/>
      <w:widowControl w:val="off"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</w:rPr>
  </w:style>
  <w:style w:type="paragraph" w:styleId="871">
    <w:name w:val="Default"/>
    <w:qFormat/>
    <w:pPr>
      <w:jc w:val="left"/>
      <w:spacing w:before="0" w:after="0" w:line="240" w:lineRule="auto"/>
      <w:widowControl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872">
    <w:name w:val="Колонтитул"/>
    <w:basedOn w:val="800"/>
    <w:qFormat/>
  </w:style>
  <w:style w:type="paragraph" w:styleId="873">
    <w:name w:val="Header"/>
    <w:basedOn w:val="800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74">
    <w:name w:val="Footer"/>
    <w:basedOn w:val="800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75">
    <w:name w:val="Основной текст2"/>
    <w:basedOn w:val="800"/>
    <w:qFormat/>
    <w:pPr>
      <w:jc w:val="center"/>
      <w:spacing w:before="0" w:after="0" w:line="0" w:lineRule="atLeast"/>
      <w:shd w:val="clear" w:color="auto" w:fill="ffffff"/>
      <w:widowControl w:val="off"/>
    </w:pPr>
    <w:rPr>
      <w:rFonts w:ascii="Times New Roman" w:hAnsi="Times New Roman" w:eastAsia="Times New Roman" w:cs="Arial"/>
      <w:sz w:val="26"/>
      <w:szCs w:val="26"/>
    </w:rPr>
  </w:style>
  <w:style w:type="paragraph" w:styleId="876">
    <w:name w:val="Normal (Web)"/>
    <w:basedOn w:val="800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7">
    <w:name w:val="List Paragraph"/>
    <w:basedOn w:val="800"/>
    <w:qFormat/>
    <w:pPr>
      <w:ind w:left="708"/>
    </w:pPr>
  </w:style>
  <w:style w:type="paragraph" w:styleId="878">
    <w:name w:val="footnote text"/>
    <w:basedOn w:val="800"/>
    <w:pPr>
      <w:spacing w:before="0" w:after="0" w:line="240" w:lineRule="auto"/>
    </w:pPr>
    <w:rPr>
      <w:rFonts w:ascii="Calibri" w:hAnsi="Calibri" w:eastAsia="Arial" w:cs="Arial"/>
      <w:sz w:val="20"/>
      <w:szCs w:val="20"/>
      <w:lang w:eastAsia="ru-RU"/>
    </w:rPr>
  </w:style>
  <w:style w:type="paragraph" w:styleId="879">
    <w:name w:val="ConsPlusTitle"/>
    <w:qFormat/>
    <w:pPr>
      <w:jc w:val="left"/>
      <w:spacing w:before="0" w:after="0" w:line="240" w:lineRule="auto"/>
      <w:widowControl w:val="off"/>
    </w:pPr>
    <w:rPr>
      <w:rFonts w:ascii="Calibri" w:hAnsi="Calibri" w:eastAsia="Times New Roman" w:cs="Calibri"/>
      <w:b/>
      <w:color w:val="auto"/>
      <w:sz w:val="22"/>
      <w:szCs w:val="20"/>
      <w:lang w:val="ru-RU" w:eastAsia="ru-RU" w:bidi="ar-SA"/>
    </w:rPr>
  </w:style>
  <w:style w:type="paragraph" w:styleId="880">
    <w:name w:val="Body Text Indent"/>
    <w:basedOn w:val="800"/>
    <w:pPr>
      <w:ind w:left="283"/>
      <w:spacing w:before="0" w:after="12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1">
    <w:name w:val="Содержимое таблицы"/>
    <w:basedOn w:val="800"/>
    <w:qFormat/>
    <w:pPr>
      <w:widowControl w:val="off"/>
      <w:suppressLineNumbers/>
    </w:pPr>
  </w:style>
  <w:style w:type="paragraph" w:styleId="882">
    <w:name w:val="Заголовок таблицы"/>
    <w:basedOn w:val="881"/>
    <w:qFormat/>
    <w:pPr>
      <w:jc w:val="center"/>
      <w:suppressLineNumbers/>
    </w:pPr>
    <w:rPr>
      <w:b/>
      <w:bCs/>
    </w:rPr>
  </w:style>
  <w:style w:type="numbering" w:styleId="883" w:default="1">
    <w:name w:val="No List"/>
    <w:qFormat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chart" Target="charts/chart1.xml" /><Relationship Id="rId12" Type="http://schemas.openxmlformats.org/officeDocument/2006/relationships/chart" Target="charts/chart2.xml" /><Relationship Id="rId13" Type="http://schemas.openxmlformats.org/officeDocument/2006/relationships/chart" Target="charts/chart3.xml" /><Relationship Id="rId14" Type="http://schemas.openxmlformats.org/officeDocument/2006/relationships/chart" Target="charts/chart4.xml" /><Relationship Id="rId15" Type="http://schemas.openxmlformats.org/officeDocument/2006/relationships/chart" Target="charts/chart5.xml" /><Relationship Id="rId16" Type="http://schemas.openxmlformats.org/officeDocument/2006/relationships/chart" Target="charts/chart6.xml" /><Relationship Id="rId17" Type="http://schemas.openxmlformats.org/officeDocument/2006/relationships/chart" Target="charts/chart7.xml" /><Relationship Id="rId18" Type="http://schemas.openxmlformats.org/officeDocument/2006/relationships/chart" Target="charts/chart8.xml" /><Relationship Id="rId19" Type="http://schemas.openxmlformats.org/officeDocument/2006/relationships/hyperlink" Target="https://krd.ru/administratsiya/administratsii-krasnodara/upravlenie-tsen-i-tarifov/elektronnyy-sbornik-1-07-2013/tarify_zhkh/open_info/" TargetMode="External"/><Relationship Id="rId20" Type="http://schemas.openxmlformats.org/officeDocument/2006/relationships/hyperlink" Target="https://krd.ru/administratsiya/administratsii-krasnodara/upravlenie-tsen-i-tarifov/elektronnyy-sbornik-1-07-2013/tarify_zhkh/reestr_deystv_tarifov_nadbavok/" TargetMode="External"/><Relationship Id="rId21" Type="http://schemas.openxmlformats.org/officeDocument/2006/relationships/chart" Target="charts/chart9.xml" /><Relationship Id="rId22" Type="http://schemas.openxmlformats.org/officeDocument/2006/relationships/chart" Target="charts/chart10.xml" /><Relationship Id="rId23" Type="http://schemas.openxmlformats.org/officeDocument/2006/relationships/chart" Target="charts/chart11.xml" /><Relationship Id="rId24" Type="http://schemas.openxmlformats.org/officeDocument/2006/relationships/chart" Target="charts/chart12.xml" /><Relationship Id="rId25" Type="http://schemas.openxmlformats.org/officeDocument/2006/relationships/chart" Target="charts/chart13.xml" /><Relationship Id="rId26" Type="http://schemas.openxmlformats.org/officeDocument/2006/relationships/chart" Target="charts/chart14.xml" /><Relationship Id="rId27" Type="http://schemas.openxmlformats.org/officeDocument/2006/relationships/hyperlink" Target="https://rosseti-kuban.ru/potrebitelyam/tekhnologicheskoe-prisoedinenie/obschaya-informatsiya-o-tekhnologicheskom-prisoedinenii/" TargetMode="External"/><Relationship Id="rId28" Type="http://schemas.openxmlformats.org/officeDocument/2006/relationships/hyperlink" Target="https://xn----7sb7akeedqd.xn--p1ai/platform/ portal/tehprisEE_portal" TargetMode="External"/><Relationship Id="rId29" Type="http://schemas.openxmlformats.org/officeDocument/2006/relationships/hyperlink" Target="https://xn----7sb7akeedqd.xn--p1ai/platform/ portal/tehprisEE_portal" TargetMode="External"/><Relationship Id="rId30" Type="http://schemas.openxmlformats.org/officeDocument/2006/relationships/hyperlink" Target="https://krasnodar.rosvodokanal.ru/users/individual/connection/contract/" TargetMode="External"/><Relationship Id="rId31" Type="http://schemas.openxmlformats.org/officeDocument/2006/relationships/hyperlink" Target="https://krasnodar.rosvodokanal.ru/users/individual/connection/contract/application/" TargetMode="External"/><Relationship Id="rId32" Type="http://schemas.openxmlformats.org/officeDocument/2006/relationships/hyperlink" Target="http://oao-atek.ru/podklyuchenie-k-teplovym-setyam/poryadok-zaklyucheniya-dogovora-o-podklyuchenii/" TargetMode="External"/><Relationship Id="rId33" Type="http://schemas.openxmlformats.org/officeDocument/2006/relationships/hyperlink" Target="http://oao-atek.ru/podklyuchenie-k-teplovym-setyam/podgotovit-zayavku/" TargetMode="External"/><Relationship Id="rId34" Type="http://schemas.openxmlformats.org/officeDocument/2006/relationships/hyperlink" Target="https://gazpromgk.ru/ekc/predproektnye-raboty/" TargetMode="External"/><Relationship Id="rId35" Type="http://schemas.openxmlformats.org/officeDocument/2006/relationships/hyperlink" Target="https://e-mfc.ru/umfc/services/?courseId=569&amp;lessonId=11639" TargetMode="External"/><Relationship Id="rId36" Type="http://schemas.openxmlformats.org/officeDocument/2006/relationships/chart" Target="charts/chart15.xml" /><Relationship Id="rId37" Type="http://schemas.openxmlformats.org/officeDocument/2006/relationships/chart" Target="charts/chart16.xml" /><Relationship Id="rId38" Type="http://schemas.openxmlformats.org/officeDocument/2006/relationships/chart" Target="charts/chart17.xml" /><Relationship Id="rId39" Type="http://schemas.openxmlformats.org/officeDocument/2006/relationships/chart" Target="charts/chart18.xml" /><Relationship Id="rId40" Type="http://schemas.openxmlformats.org/officeDocument/2006/relationships/chart" Target="charts/chart19.xml" /><Relationship Id="rId41" Type="http://schemas.openxmlformats.org/officeDocument/2006/relationships/chart" Target="charts/chart20.xml" /><Relationship Id="rId42" Type="http://schemas.openxmlformats.org/officeDocument/2006/relationships/chart" Target="charts/chart21.xml" /><Relationship Id="rId43" Type="http://schemas.openxmlformats.org/officeDocument/2006/relationships/chart" Target="charts/chart22.xml" /><Relationship Id="rId44" Type="http://schemas.openxmlformats.org/officeDocument/2006/relationships/chart" Target="charts/chart23.xml" /><Relationship Id="rId45" Type="http://schemas.openxmlformats.org/officeDocument/2006/relationships/hyperlink" Target="https://krd.ru/departament-ekonomicheskogo-razvitiya-investitsiy-i-vneshnikh-svyazey/standart-razvitiya-konkurentsi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_rels/chart10.xml.rels><?xml version="1.0" encoding="UTF-8" standalone="yes"?><Relationships xmlns="http://schemas.openxmlformats.org/package/2006/relationships"><Relationship Id="rId1" Type="http://schemas.microsoft.com/office/2011/relationships/chartStyle" Target="style10.xml" /><Relationship Id="rId2" Type="http://schemas.microsoft.com/office/2011/relationships/chartColorStyle" Target="colors10.xml" /><Relationship Id="rId3" Type="http://schemas.openxmlformats.org/officeDocument/2006/relationships/package" Target="../embeddings/Microsoft_Excel_Worksheet10.xlsx" /></Relationships>
</file>

<file path=word/charts/_rels/chart11.xml.rels><?xml version="1.0" encoding="UTF-8" standalone="yes"?><Relationships xmlns="http://schemas.openxmlformats.org/package/2006/relationships"><Relationship Id="rId1" Type="http://schemas.microsoft.com/office/2011/relationships/chartStyle" Target="style11.xml" /><Relationship Id="rId2" Type="http://schemas.microsoft.com/office/2011/relationships/chartColorStyle" Target="colors11.xml" /><Relationship Id="rId3" Type="http://schemas.openxmlformats.org/officeDocument/2006/relationships/package" Target="../embeddings/Microsoft_Excel_Worksheet11.xlsx" /></Relationships>
</file>

<file path=word/charts/_rels/chart12.xml.rels><?xml version="1.0" encoding="UTF-8" standalone="yes"?><Relationships xmlns="http://schemas.openxmlformats.org/package/2006/relationships"><Relationship Id="rId1" Type="http://schemas.microsoft.com/office/2011/relationships/chartStyle" Target="style12.xml" /><Relationship Id="rId2" Type="http://schemas.microsoft.com/office/2011/relationships/chartColorStyle" Target="colors12.xml" /><Relationship Id="rId3" Type="http://schemas.openxmlformats.org/officeDocument/2006/relationships/package" Target="../embeddings/Microsoft_Excel_Worksheet12.xlsx" /></Relationships>
</file>

<file path=word/charts/_rels/chart13.xml.rels><?xml version="1.0" encoding="UTF-8" standalone="yes"?><Relationships xmlns="http://schemas.openxmlformats.org/package/2006/relationships"><Relationship Id="rId1" Type="http://schemas.microsoft.com/office/2011/relationships/chartStyle" Target="style13.xml" /><Relationship Id="rId2" Type="http://schemas.microsoft.com/office/2011/relationships/chartColorStyle" Target="colors13.xml" /><Relationship Id="rId3" Type="http://schemas.openxmlformats.org/officeDocument/2006/relationships/package" Target="../embeddings/Microsoft_Excel_Worksheet13.xlsx" /></Relationships>
</file>

<file path=word/charts/_rels/chart14.xml.rels><?xml version="1.0" encoding="UTF-8" standalone="yes"?><Relationships xmlns="http://schemas.openxmlformats.org/package/2006/relationships"><Relationship Id="rId1" Type="http://schemas.microsoft.com/office/2011/relationships/chartStyle" Target="style14.xml" /><Relationship Id="rId2" Type="http://schemas.microsoft.com/office/2011/relationships/chartColorStyle" Target="colors14.xml" /><Relationship Id="rId3" Type="http://schemas.openxmlformats.org/officeDocument/2006/relationships/package" Target="../embeddings/Microsoft_Excel_Worksheet14.xlsx" /></Relationships>
</file>

<file path=word/charts/_rels/chart15.xml.rels><?xml version="1.0" encoding="UTF-8" standalone="yes"?><Relationships xmlns="http://schemas.openxmlformats.org/package/2006/relationships"></Relationships>
</file>

<file path=word/charts/_rels/chart16.xml.rels><?xml version="1.0" encoding="UTF-8" standalone="yes"?><Relationships xmlns="http://schemas.openxmlformats.org/package/2006/relationships"></Relationships>
</file>

<file path=word/charts/_rels/chart17.xml.rels><?xml version="1.0" encoding="UTF-8" standalone="yes"?><Relationships xmlns="http://schemas.openxmlformats.org/package/2006/relationships"></Relationships>
</file>

<file path=word/charts/_rels/chart18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8.xlsx" /></Relationships>
</file>

<file path=word/charts/_rels/chart19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9.xlsx" /></Relationships>
</file>

<file path=word/charts/_rels/chart2.xml.rels><?xml version="1.0" encoding="UTF-8" standalone="yes"?><Relationships xmlns="http://schemas.openxmlformats.org/package/2006/relationships"><Relationship Id="rId1" Type="http://schemas.microsoft.com/office/2011/relationships/chartStyle" Target="style2.xml" /><Relationship Id="rId2" Type="http://schemas.microsoft.com/office/2011/relationships/chartColorStyle" Target="colors2.xml" /><Relationship Id="rId3" Type="http://schemas.openxmlformats.org/officeDocument/2006/relationships/package" Target="../embeddings/Microsoft_Excel_Worksheet2.xlsx" /></Relationships>
</file>

<file path=word/charts/_rels/chart20.xml.rels><?xml version="1.0" encoding="UTF-8" standalone="yes"?><Relationships xmlns="http://schemas.openxmlformats.org/package/2006/relationships"><Relationship Id="rId1" Type="http://schemas.openxmlformats.org/officeDocument/2006/relationships/chartUserShapes" Target="../drawings/drawing1.xml" /><Relationship Id="rId2" Type="http://schemas.openxmlformats.org/officeDocument/2006/relationships/package" Target="../embeddings/Microsoft_Excel_Worksheet20.xlsx" /></Relationships>
</file>

<file path=word/charts/_rels/chart21.xml.rels><?xml version="1.0" encoding="UTF-8" standalone="yes"?><Relationships xmlns="http://schemas.openxmlformats.org/package/2006/relationships"><Relationship Id="rId1" Type="http://schemas.microsoft.com/office/2011/relationships/chartStyle" Target="style15.xml" /><Relationship Id="rId2" Type="http://schemas.microsoft.com/office/2011/relationships/chartColorStyle" Target="colors15.xml" /><Relationship Id="rId3" Type="http://schemas.openxmlformats.org/officeDocument/2006/relationships/package" Target="../embeddings/Microsoft_Excel_Worksheet21.xlsx" /></Relationships>
</file>

<file path=word/charts/_rels/chart2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2.xlsx" /></Relationships>
</file>

<file path=word/charts/_rels/chart23.xml.rels><?xml version="1.0" encoding="UTF-8" standalone="yes"?><Relationships xmlns="http://schemas.openxmlformats.org/package/2006/relationships"><Relationship Id="rId1" Type="http://schemas.microsoft.com/office/2011/relationships/chartStyle" Target="style16.xml" /><Relationship Id="rId2" Type="http://schemas.microsoft.com/office/2011/relationships/chartColorStyle" Target="colors16.xml" /><Relationship Id="rId3" Type="http://schemas.openxmlformats.org/officeDocument/2006/relationships/package" Target="../embeddings/Microsoft_Excel_Worksheet23.xlsx" /></Relationships>
</file>

<file path=word/charts/_rels/chart3.xml.rels><?xml version="1.0" encoding="UTF-8" standalone="yes"?><Relationships xmlns="http://schemas.openxmlformats.org/package/2006/relationships"><Relationship Id="rId1" Type="http://schemas.microsoft.com/office/2011/relationships/chartStyle" Target="style3.xml" /><Relationship Id="rId2" Type="http://schemas.microsoft.com/office/2011/relationships/chartColorStyle" Target="colors3.xml" /><Relationship Id="rId3" Type="http://schemas.openxmlformats.org/officeDocument/2006/relationships/package" Target="../embeddings/Microsoft_Excel_Worksheet3.xlsx" /></Relationships>
</file>

<file path=word/charts/_rels/chart4.xml.rels><?xml version="1.0" encoding="UTF-8" standalone="yes"?><Relationships xmlns="http://schemas.openxmlformats.org/package/2006/relationships"><Relationship Id="rId1" Type="http://schemas.microsoft.com/office/2011/relationships/chartStyle" Target="style4.xml" /><Relationship Id="rId2" Type="http://schemas.microsoft.com/office/2011/relationships/chartColorStyle" Target="colors4.xml" /><Relationship Id="rId3" Type="http://schemas.openxmlformats.org/officeDocument/2006/relationships/package" Target="../embeddings/Microsoft_Excel_Worksheet4.xlsx" /></Relationships>
</file>

<file path=word/charts/_rels/chart5.xml.rels><?xml version="1.0" encoding="UTF-8" standalone="yes"?><Relationships xmlns="http://schemas.openxmlformats.org/package/2006/relationships"><Relationship Id="rId1" Type="http://schemas.microsoft.com/office/2011/relationships/chartStyle" Target="style5.xml" /><Relationship Id="rId2" Type="http://schemas.microsoft.com/office/2011/relationships/chartColorStyle" Target="colors5.xml" /><Relationship Id="rId3" Type="http://schemas.openxmlformats.org/officeDocument/2006/relationships/package" Target="../embeddings/Microsoft_Excel_Worksheet5.xlsx" /></Relationships>
</file>

<file path=word/charts/_rels/chart6.xml.rels><?xml version="1.0" encoding="UTF-8" standalone="yes"?><Relationships xmlns="http://schemas.openxmlformats.org/package/2006/relationships"><Relationship Id="rId1" Type="http://schemas.microsoft.com/office/2011/relationships/chartStyle" Target="style6.xml" /><Relationship Id="rId2" Type="http://schemas.microsoft.com/office/2011/relationships/chartColorStyle" Target="colors6.xml" /><Relationship Id="rId3" Type="http://schemas.openxmlformats.org/officeDocument/2006/relationships/package" Target="../embeddings/Microsoft_Excel_Worksheet6.xlsx" /></Relationships>
</file>

<file path=word/charts/_rels/chart7.xml.rels><?xml version="1.0" encoding="UTF-8" standalone="yes"?><Relationships xmlns="http://schemas.openxmlformats.org/package/2006/relationships"><Relationship Id="rId1" Type="http://schemas.microsoft.com/office/2011/relationships/chartStyle" Target="style7.xml" /><Relationship Id="rId2" Type="http://schemas.microsoft.com/office/2011/relationships/chartColorStyle" Target="colors7.xml" /><Relationship Id="rId3" Type="http://schemas.openxmlformats.org/officeDocument/2006/relationships/package" Target="../embeddings/Microsoft_Excel_Worksheet7.xlsx" /></Relationships>
</file>

<file path=word/charts/_rels/chart8.xml.rels><?xml version="1.0" encoding="UTF-8" standalone="yes"?><Relationships xmlns="http://schemas.openxmlformats.org/package/2006/relationships"><Relationship Id="rId1" Type="http://schemas.microsoft.com/office/2011/relationships/chartStyle" Target="style8.xml" /><Relationship Id="rId2" Type="http://schemas.microsoft.com/office/2011/relationships/chartColorStyle" Target="colors8.xml" /><Relationship Id="rId3" Type="http://schemas.openxmlformats.org/officeDocument/2006/relationships/package" Target="../embeddings/Microsoft_Excel_Worksheet8.xlsx" /></Relationships>
</file>

<file path=word/charts/_rels/chart9.xml.rels><?xml version="1.0" encoding="UTF-8" standalone="yes"?><Relationships xmlns="http://schemas.openxmlformats.org/package/2006/relationships"><Relationship Id="rId1" Type="http://schemas.microsoft.com/office/2011/relationships/chartStyle" Target="style9.xml" /><Relationship Id="rId2" Type="http://schemas.microsoft.com/office/2011/relationships/chartColorStyle" Target="colors9.xml" /><Relationship Id="rId3" Type="http://schemas.openxmlformats.org/officeDocument/2006/relationships/package" Target="../embeddings/Microsoft_Excel_Worksheet9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6730"/>
          <c:y val="0.035250"/>
          <c:w val="0.826050"/>
          <c:h val="0.439540"/>
        </c:manualLayout>
      </c:layout>
      <c:barChart>
        <c:barDir val="col"/>
        <c:grouping val="percentStacked"/>
        <c:varyColors val="0"/>
        <c:ser>
          <c:idx val="0"/>
          <c:order val="0"/>
          <c:tx>
            <c:v>достаточно</c:v>
          </c:tx>
          <c:spPr bwMode="auto">
            <a:prstGeom prst="rect">
              <a:avLst/>
            </a:prstGeom>
            <a:solidFill>
              <a:srgbClr val="0070C0"/>
            </a:solidFill>
            <a:ln w="12699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Лист1!$C$1:$C$12</c:f>
              <c:strCache>
                <c:ptCount val="12"/>
                <c:pt idx="0">
                  <c:v xml:space="preserve">сфера образования</c:v>
                </c:pt>
                <c:pt idx="1">
                  <c:v xml:space="preserve">социальная сфера</c:v>
                </c:pt>
                <c:pt idx="2">
                  <c:v>здравоохранение</c:v>
                </c:pt>
                <c:pt idx="3">
                  <c:v>ЖКХ</c:v>
                </c:pt>
                <c:pt idx="4">
                  <c:v xml:space="preserve">транспортный комплекс</c:v>
                </c:pt>
                <c:pt idx="5">
                  <c:v xml:space="preserve">информационные технологии</c:v>
                </c:pt>
                <c:pt idx="6">
                  <c:v>строительство</c:v>
                </c:pt>
                <c:pt idx="7">
                  <c:v>АПК</c:v>
                </c:pt>
                <c:pt idx="8">
                  <c:v>промышленность</c:v>
                </c:pt>
                <c:pt idx="9">
                  <c:v xml:space="preserve">торговля и услуги населению</c:v>
                </c:pt>
                <c:pt idx="10">
                  <c:v xml:space="preserve">санаторно-курортный комплекс</c:v>
                </c:pt>
                <c:pt idx="11">
                  <c:v>спорт</c:v>
                </c:pt>
              </c:strCache>
            </c:strRef>
          </c:cat>
          <c:val>
            <c:numRef>
              <c:f>Лист1!$A$1:$A$12</c:f>
              <c:numCache>
                <c:formatCode>General</c:formatCode>
                <c:ptCount val="12"/>
                <c:pt idx="0">
                  <c:v>18816</c:v>
                </c:pt>
                <c:pt idx="1">
                  <c:v>15598</c:v>
                </c:pt>
                <c:pt idx="2">
                  <c:v>22865</c:v>
                </c:pt>
                <c:pt idx="3">
                  <c:v>23190</c:v>
                </c:pt>
                <c:pt idx="4">
                  <c:v>27453</c:v>
                </c:pt>
                <c:pt idx="5">
                  <c:v>27643</c:v>
                </c:pt>
                <c:pt idx="6">
                  <c:v>28970</c:v>
                </c:pt>
                <c:pt idx="7">
                  <c:v>27743</c:v>
                </c:pt>
                <c:pt idx="8">
                  <c:v>22619</c:v>
                </c:pt>
                <c:pt idx="9">
                  <c:v>31101</c:v>
                </c:pt>
                <c:pt idx="10">
                  <c:v>13680</c:v>
                </c:pt>
                <c:pt idx="11">
                  <c:v>27570</c:v>
                </c:pt>
              </c:numCache>
            </c:numRef>
          </c:val>
        </c:ser>
        <c:ser>
          <c:idx val="1"/>
          <c:order val="1"/>
          <c:tx>
            <c:v>мало</c:v>
          </c:tx>
          <c:spPr bwMode="auto">
            <a:prstGeom prst="rect">
              <a:avLst/>
            </a:prstGeom>
            <a:solidFill>
              <a:srgbClr val="FFC000"/>
            </a:solidFill>
            <a:ln w="12699">
              <a:solidFill>
                <a:schemeClr val="tx1"/>
              </a:solidFill>
              <a:prstDash val="solid"/>
            </a:ln>
          </c:spPr>
          <c:invertIfNegative val="0"/>
          <c:dPt>
            <c:idx val="0"/>
            <c:spPr bwMode="auto">
              <a:prstGeom prst="rect">
                <a:avLst/>
              </a:prstGeom>
              <a:solidFill>
                <a:srgbClr val="FFC000"/>
              </a:solidFill>
              <a:ln w="12699">
                <a:solidFill>
                  <a:schemeClr val="tx1"/>
                </a:solidFill>
                <a:prstDash val="solid"/>
              </a:ln>
            </c:spPr>
          </c:dPt>
          <c:cat>
            <c:strRef>
              <c:f>Лист1!$C$1:$C$12</c:f>
              <c:strCache>
                <c:ptCount val="12"/>
                <c:pt idx="0">
                  <c:v xml:space="preserve">сфера образования</c:v>
                </c:pt>
                <c:pt idx="1">
                  <c:v xml:space="preserve">социальная сфера</c:v>
                </c:pt>
                <c:pt idx="2">
                  <c:v>здравоохранение</c:v>
                </c:pt>
                <c:pt idx="3">
                  <c:v>ЖКХ</c:v>
                </c:pt>
                <c:pt idx="4">
                  <c:v xml:space="preserve">транспортный комплекс</c:v>
                </c:pt>
                <c:pt idx="5">
                  <c:v xml:space="preserve">информационные технологии</c:v>
                </c:pt>
                <c:pt idx="6">
                  <c:v>строительство</c:v>
                </c:pt>
                <c:pt idx="7">
                  <c:v>АПК</c:v>
                </c:pt>
                <c:pt idx="8">
                  <c:v>промышленность</c:v>
                </c:pt>
                <c:pt idx="9">
                  <c:v xml:space="preserve">торговля и услуги населению</c:v>
                </c:pt>
                <c:pt idx="10">
                  <c:v xml:space="preserve">санаторно-курортный комплекс</c:v>
                </c:pt>
                <c:pt idx="11">
                  <c:v>спорт</c:v>
                </c:pt>
              </c:strCache>
            </c:strRef>
          </c:cat>
          <c:val>
            <c:numRef>
              <c:f>Лист1!$B$1:$B$12</c:f>
              <c:numCache>
                <c:formatCode>General</c:formatCode>
                <c:ptCount val="12"/>
                <c:pt idx="0">
                  <c:v>14298</c:v>
                </c:pt>
                <c:pt idx="1">
                  <c:v>17493</c:v>
                </c:pt>
                <c:pt idx="2">
                  <c:v>10201</c:v>
                </c:pt>
                <c:pt idx="3">
                  <c:v>9856</c:v>
                </c:pt>
                <c:pt idx="4">
                  <c:v>5614</c:v>
                </c:pt>
                <c:pt idx="5">
                  <c:v>5393</c:v>
                </c:pt>
                <c:pt idx="6">
                  <c:v>4195</c:v>
                </c:pt>
                <c:pt idx="7">
                  <c:v>5277</c:v>
                </c:pt>
                <c:pt idx="8">
                  <c:v>9952</c:v>
                </c:pt>
                <c:pt idx="9">
                  <c:v>2035</c:v>
                </c:pt>
                <c:pt idx="10">
                  <c:v>18934</c:v>
                </c:pt>
                <c:pt idx="11">
                  <c:v>5495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overlap val="100"/>
        <c:axId val="2140841475"/>
        <c:axId val="2140841476"/>
      </c:barChart>
      <c:catAx>
        <c:axId val="21408414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800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476"/>
        <c:crosses val="autoZero"/>
        <c:auto val="1"/>
        <c:lblAlgn val="ctr"/>
        <c:lblOffset val="100"/>
        <c:tickMarkSkip val="1"/>
        <c:noMultiLvlLbl val="0"/>
      </c:catAx>
      <c:valAx>
        <c:axId val="214084147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0%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1000" b="1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475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>
        <c:manualLayout>
          <c:xMode val="edge"/>
          <c:yMode val="edge"/>
          <c:x val="0.254230"/>
          <c:y val="0.932430"/>
          <c:w val="0.448210"/>
          <c:h val="0.04680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>
              <a:solidFill>
                <a:srgbClr val="000000"/>
              </a:solidFill>
              <a:latin typeface="Tinos"/>
              <a:ea typeface="Tinos"/>
              <a:cs typeface="Tino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6097926" cy="2121935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327370"/>
          <c:y val="0.025550"/>
          <c:w val="0.647320"/>
          <c:h val="0.716660"/>
        </c:manualLayout>
      </c:layout>
      <c:bar3DChart>
        <c:barDir val="bar"/>
        <c:grouping val="percentStacked"/>
        <c:varyColors val="0"/>
        <c:ser>
          <c:idx val="0"/>
          <c:order val="0"/>
          <c:tx>
            <c:v>удовлетворительно</c:v>
          </c:tx>
          <c:spPr bwMode="auto">
            <a:prstGeom prst="rect">
              <a:avLst/>
            </a:prstGeom>
            <a:solidFill>
              <a:srgbClr val="FFFF00"/>
            </a:solidFill>
            <a:ln w="12699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Лист1!$C$1:$C$5</c:f>
              <c:strCache>
                <c:ptCount val="5"/>
                <c:pt idx="0">
                  <c:v xml:space="preserve"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 xml:space="preserve">телефонная связь</c:v>
                </c:pt>
              </c:strCache>
            </c:strRef>
          </c:cat>
          <c:val>
            <c:numRef>
              <c:f>Лист1!$A$1:$A$5</c:f>
              <c:numCache>
                <c:formatCode>General</c:formatCode>
                <c:ptCount val="5"/>
                <c:pt idx="0">
                  <c:v>3760</c:v>
                </c:pt>
                <c:pt idx="1">
                  <c:v>3760</c:v>
                </c:pt>
                <c:pt idx="2">
                  <c:v>3801</c:v>
                </c:pt>
                <c:pt idx="3">
                  <c:v>3785</c:v>
                </c:pt>
                <c:pt idx="4">
                  <c:v>3794</c:v>
                </c:pt>
              </c:numCache>
            </c:numRef>
          </c:val>
        </c:ser>
        <c:ser>
          <c:idx val="1"/>
          <c:order val="1"/>
          <c:tx>
            <c:v xml:space="preserve">не удовлетворительно</c:v>
          </c:tx>
          <c:spPr bwMode="auto">
            <a:prstGeom prst="rect">
              <a:avLst/>
            </a:prstGeom>
            <a:solidFill>
              <a:srgbClr val="C00000"/>
            </a:solidFill>
            <a:ln w="12699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Лист1!$C$1:$C$5</c:f>
              <c:strCache>
                <c:ptCount val="5"/>
                <c:pt idx="0">
                  <c:v xml:space="preserve"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 xml:space="preserve">телефонная связь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1747</c:v>
                </c:pt>
                <c:pt idx="1">
                  <c:v>1726</c:v>
                </c:pt>
                <c:pt idx="2">
                  <c:v>1712</c:v>
                </c:pt>
                <c:pt idx="3">
                  <c:v>1712</c:v>
                </c:pt>
                <c:pt idx="4">
                  <c:v>1705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gapWidth val="150"/>
        <c:axId val="2140841541"/>
        <c:axId val="2140841542"/>
      </c:bar3DChart>
      <c:catAx>
        <c:axId val="214084154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1000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542"/>
        <c:crosses val="autoZero"/>
        <c:auto val="1"/>
        <c:lblAlgn val="ctr"/>
        <c:lblOffset val="100"/>
        <c:tickMarkSkip val="1"/>
        <c:noMultiLvlLbl val="0"/>
      </c:catAx>
      <c:valAx>
        <c:axId val="2140841542"/>
        <c:scaling>
          <c:orientation val="minMax"/>
        </c:scaling>
        <c:delete val="0"/>
        <c:axPos val="b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0%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1000" b="1">
                <a:solidFill>
                  <a:srgbClr val="000000"/>
                </a:solidFill>
                <a:latin typeface="Calibri"/>
                <a:ea typeface="Arial"/>
                <a:cs typeface="Arial"/>
              </a:defRPr>
            </a:pPr>
            <a:endParaRPr/>
          </a:p>
        </c:txPr>
        <c:crossAx val="2140841541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>
        <c:manualLayout>
          <c:xMode val="edge"/>
          <c:yMode val="edge"/>
          <c:x val="0.193260"/>
          <c:y val="0.883490"/>
          <c:w val="0.654250"/>
          <c:h val="0.08146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>
              <a:solidFill>
                <a:srgbClr val="000000"/>
              </a:solidFill>
              <a:latin typeface="Tinos"/>
              <a:ea typeface="Tinos"/>
              <a:cs typeface="Tino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6120129" cy="2106518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327370"/>
          <c:y val="0.025550"/>
          <c:w val="0.647320"/>
          <c:h val="0.739660"/>
        </c:manualLayout>
      </c:layout>
      <c:bar3DChart>
        <c:barDir val="bar"/>
        <c:grouping val="percentStacked"/>
        <c:varyColors val="0"/>
        <c:ser>
          <c:idx val="0"/>
          <c:order val="0"/>
          <c:tx>
            <c:v>удовлетворительно</c:v>
          </c:tx>
          <c:spPr bwMode="auto">
            <a:prstGeom prst="rect">
              <a:avLst/>
            </a:prstGeom>
            <a:solidFill>
              <a:srgbClr val="FFFF00"/>
            </a:solidFill>
            <a:ln w="12699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Лист1!$C$1:$C$5</c:f>
              <c:strCache>
                <c:ptCount val="5"/>
                <c:pt idx="0">
                  <c:v xml:space="preserve"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 xml:space="preserve">телефонная связь</c:v>
                </c:pt>
              </c:strCache>
            </c:strRef>
          </c:cat>
          <c:val>
            <c:numRef>
              <c:f>Лист1!$A$1:$A$5</c:f>
              <c:numCache>
                <c:formatCode>General</c:formatCode>
                <c:ptCount val="5"/>
                <c:pt idx="0">
                  <c:v>3777</c:v>
                </c:pt>
                <c:pt idx="1">
                  <c:v>3740</c:v>
                </c:pt>
                <c:pt idx="2">
                  <c:v>3766</c:v>
                </c:pt>
                <c:pt idx="3">
                  <c:v>3767</c:v>
                </c:pt>
                <c:pt idx="4">
                  <c:v>3780</c:v>
                </c:pt>
              </c:numCache>
            </c:numRef>
          </c:val>
        </c:ser>
        <c:ser>
          <c:idx val="1"/>
          <c:order val="1"/>
          <c:tx>
            <c:v xml:space="preserve">не удовлетворительно</c:v>
          </c:tx>
          <c:spPr bwMode="auto">
            <a:prstGeom prst="rect">
              <a:avLst/>
            </a:prstGeom>
            <a:solidFill>
              <a:srgbClr val="C00000"/>
            </a:solidFill>
            <a:ln w="12699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Лист1!$C$1:$C$5</c:f>
              <c:strCache>
                <c:ptCount val="5"/>
                <c:pt idx="0">
                  <c:v xml:space="preserve"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 xml:space="preserve">телефонная связь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1713</c:v>
                </c:pt>
                <c:pt idx="1">
                  <c:v>1735</c:v>
                </c:pt>
                <c:pt idx="2">
                  <c:v>1738</c:v>
                </c:pt>
                <c:pt idx="3">
                  <c:v>1726</c:v>
                </c:pt>
                <c:pt idx="4">
                  <c:v>1719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gapWidth val="150"/>
        <c:axId val="2140841547"/>
        <c:axId val="2140841548"/>
      </c:bar3DChart>
      <c:catAx>
        <c:axId val="21408415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1000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548"/>
        <c:crosses val="autoZero"/>
        <c:auto val="1"/>
        <c:lblAlgn val="ctr"/>
        <c:lblOffset val="100"/>
        <c:tickMarkSkip val="1"/>
        <c:noMultiLvlLbl val="0"/>
      </c:catAx>
      <c:valAx>
        <c:axId val="2140841548"/>
        <c:scaling>
          <c:orientation val="minMax"/>
        </c:scaling>
        <c:delete val="0"/>
        <c:axPos val="b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0%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1000" b="1">
                <a:solidFill>
                  <a:srgbClr val="000000"/>
                </a:solidFill>
                <a:latin typeface="Calibri"/>
                <a:ea typeface="Arial"/>
                <a:cs typeface="Arial"/>
              </a:defRPr>
            </a:pPr>
            <a:endParaRPr/>
          </a:p>
        </c:txPr>
        <c:crossAx val="2140841547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>
        <c:manualLayout>
          <c:xMode val="edge"/>
          <c:yMode val="edge"/>
          <c:x val="0.183920"/>
          <c:y val="0.895960"/>
          <c:w val="0.654250"/>
          <c:h val="0.08146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>
              <a:solidFill>
                <a:srgbClr val="000000"/>
              </a:solidFill>
              <a:latin typeface="Tinos"/>
              <a:ea typeface="Tinos"/>
              <a:cs typeface="Tino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6120129" cy="2078339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327370"/>
          <c:y val="0.025540"/>
          <c:w val="0.647320"/>
          <c:h val="0.745580"/>
        </c:manualLayout>
      </c:layout>
      <c:bar3DChart>
        <c:barDir val="bar"/>
        <c:grouping val="percentStacked"/>
        <c:varyColors val="0"/>
        <c:ser>
          <c:idx val="0"/>
          <c:order val="0"/>
          <c:tx>
            <c:v>снизилась</c:v>
          </c:tx>
          <c:spPr bwMode="auto">
            <a:prstGeom prst="rect">
              <a:avLst/>
            </a:prstGeom>
            <a:solidFill>
              <a:srgbClr val="FFFF00"/>
            </a:solidFill>
            <a:ln w="12699">
              <a:solidFill>
                <a:schemeClr val="tx1"/>
              </a:solidFill>
              <a:prstDash val="solid"/>
              <a:bevel/>
            </a:ln>
          </c:spPr>
          <c:invertIfNegative val="0"/>
          <c:cat>
            <c:strRef>
              <c:f xml:space="preserve">'Лист1 (3)'!$D$1:$D$5</c:f>
              <c:strCache>
                <c:ptCount val="5"/>
                <c:pt idx="0">
                  <c:v xml:space="preserve"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 xml:space="preserve">телефонная связь</c:v>
                </c:pt>
              </c:strCache>
            </c:strRef>
          </c:cat>
          <c:val>
            <c:numRef>
              <c:f xml:space="preserve">'Лист1 (3)'!$A$1:$A$5</c:f>
              <c:numCache>
                <c:formatCode>General</c:formatCode>
                <c:ptCount val="5"/>
                <c:pt idx="0">
                  <c:v>1209</c:v>
                </c:pt>
                <c:pt idx="1">
                  <c:v>2673</c:v>
                </c:pt>
                <c:pt idx="2">
                  <c:v>2676</c:v>
                </c:pt>
                <c:pt idx="3">
                  <c:v>1178</c:v>
                </c:pt>
                <c:pt idx="4">
                  <c:v>2699</c:v>
                </c:pt>
              </c:numCache>
            </c:numRef>
          </c:val>
        </c:ser>
        <c:ser>
          <c:idx val="1"/>
          <c:order val="1"/>
          <c:tx>
            <c:v>увеличилась</c:v>
          </c:tx>
          <c:spPr bwMode="auto">
            <a:prstGeom prst="rect">
              <a:avLst/>
            </a:prstGeom>
            <a:solidFill>
              <a:srgbClr val="C00000"/>
            </a:solidFill>
            <a:ln w="12699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 xml:space="preserve">'Лист1 (3)'!$D$1:$D$5</c:f>
              <c:strCache>
                <c:ptCount val="5"/>
                <c:pt idx="0">
                  <c:v xml:space="preserve"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 xml:space="preserve">телефонная связь</c:v>
                </c:pt>
              </c:strCache>
            </c:strRef>
          </c:cat>
          <c:val>
            <c:numRef>
              <c:f xml:space="preserve">'Лист1 (3)'!$B$1:$B$5</c:f>
              <c:numCache>
                <c:formatCode>General</c:formatCode>
                <c:ptCount val="5"/>
                <c:pt idx="0">
                  <c:v>2581</c:v>
                </c:pt>
                <c:pt idx="1">
                  <c:v>1118</c:v>
                </c:pt>
                <c:pt idx="2">
                  <c:v>1083</c:v>
                </c:pt>
                <c:pt idx="3">
                  <c:v>2599</c:v>
                </c:pt>
                <c:pt idx="4">
                  <c:v>1082</c:v>
                </c:pt>
              </c:numCache>
            </c:numRef>
          </c:val>
        </c:ser>
        <c:ser>
          <c:idx val="2"/>
          <c:order val="2"/>
          <c:tx>
            <c:v xml:space="preserve">не изменилась</c:v>
          </c:tx>
          <c:spPr bwMode="auto">
            <a:prstGeom prst="rect">
              <a:avLst/>
            </a:prstGeom>
            <a:solidFill>
              <a:srgbClr val="00B0F0"/>
            </a:solidFill>
            <a:ln w="12699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 xml:space="preserve">'Лист1 (3)'!$D$1:$D$5</c:f>
              <c:strCache>
                <c:ptCount val="5"/>
                <c:pt idx="0">
                  <c:v xml:space="preserve"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 xml:space="preserve">телефонная связь</c:v>
                </c:pt>
              </c:strCache>
            </c:strRef>
          </c:cat>
          <c:val>
            <c:numRef>
              <c:f xml:space="preserve">'Лист1 (3)'!$C$1:$C$5</c:f>
              <c:numCache>
                <c:formatCode>General</c:formatCode>
                <c:ptCount val="5"/>
                <c:pt idx="0">
                  <c:v>12881</c:v>
                </c:pt>
                <c:pt idx="1">
                  <c:v>12880</c:v>
                </c:pt>
                <c:pt idx="2">
                  <c:v>12912</c:v>
                </c:pt>
                <c:pt idx="3">
                  <c:v>12894</c:v>
                </c:pt>
                <c:pt idx="4">
                  <c:v>12890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gapWidth val="150"/>
        <c:axId val="2140841549"/>
        <c:axId val="2140841550"/>
      </c:bar3DChart>
      <c:catAx>
        <c:axId val="214084154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1000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550"/>
        <c:crosses val="autoZero"/>
        <c:auto val="1"/>
        <c:lblAlgn val="ctr"/>
        <c:lblOffset val="100"/>
        <c:tickMarkSkip val="1"/>
        <c:noMultiLvlLbl val="0"/>
      </c:catAx>
      <c:valAx>
        <c:axId val="2140841550"/>
        <c:scaling>
          <c:orientation val="minMax"/>
        </c:scaling>
        <c:delete val="0"/>
        <c:axPos val="b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0%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1000" b="1">
                <a:solidFill>
                  <a:srgbClr val="000000"/>
                </a:solidFill>
                <a:latin typeface="Calibri"/>
                <a:ea typeface="Arial"/>
                <a:cs typeface="Arial"/>
              </a:defRPr>
            </a:pPr>
            <a:endParaRPr/>
          </a:p>
        </c:txPr>
        <c:crossAx val="2140841549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>
        <c:manualLayout>
          <c:xMode val="edge"/>
          <c:yMode val="edge"/>
          <c:x val="0.330220"/>
          <c:y val="0.916930"/>
          <c:w val="0.654250"/>
          <c:h val="0.08146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>
              <a:solidFill>
                <a:srgbClr val="000000"/>
              </a:solidFill>
              <a:latin typeface="Tinos"/>
              <a:ea typeface="Tinos"/>
              <a:cs typeface="Tino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6120129" cy="2015888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327370"/>
          <c:y val="0.025550"/>
          <c:w val="0.647320"/>
          <c:h val="0.736090"/>
        </c:manualLayout>
      </c:layout>
      <c:bar3DChart>
        <c:barDir val="bar"/>
        <c:grouping val="percentStacked"/>
        <c:varyColors val="0"/>
        <c:ser>
          <c:idx val="0"/>
          <c:order val="0"/>
          <c:tx>
            <c:v>удовлетворительно</c:v>
          </c:tx>
          <c:spPr bwMode="auto">
            <a:prstGeom prst="rect">
              <a:avLst/>
            </a:prstGeom>
            <a:solidFill>
              <a:srgbClr val="FFFF00"/>
            </a:solidFill>
            <a:ln w="12699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 xml:space="preserve">'Лист1 (4)'!$C$1:$C$6</c:f>
              <c:strCache>
                <c:ptCount val="6"/>
                <c:pt idx="0">
                  <c:v xml:space="preserve">водоснабжение,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 xml:space="preserve">телефонная связь</c:v>
                </c:pt>
              </c:strCache>
            </c:strRef>
          </c:cat>
          <c:val>
            <c:numRef>
              <c:f xml:space="preserve">'Лист1 (4)'!$A$1:$A$6</c:f>
              <c:numCache>
                <c:formatCode>General</c:formatCode>
                <c:ptCount val="6"/>
                <c:pt idx="0">
                  <c:v>27107</c:v>
                </c:pt>
                <c:pt idx="1">
                  <c:v>19230</c:v>
                </c:pt>
                <c:pt idx="2">
                  <c:v>27496</c:v>
                </c:pt>
                <c:pt idx="3">
                  <c:v>27567</c:v>
                </c:pt>
                <c:pt idx="4">
                  <c:v>27434</c:v>
                </c:pt>
                <c:pt idx="5">
                  <c:v>26946</c:v>
                </c:pt>
              </c:numCache>
            </c:numRef>
          </c:val>
        </c:ser>
        <c:ser>
          <c:idx val="1"/>
          <c:order val="1"/>
          <c:tx>
            <c:v>неудовлетворительно</c:v>
          </c:tx>
          <c:spPr bwMode="auto">
            <a:prstGeom prst="rect">
              <a:avLst/>
            </a:prstGeom>
            <a:solidFill>
              <a:srgbClr val="C00000"/>
            </a:solidFill>
            <a:ln w="12699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 xml:space="preserve">'Лист1 (4)'!$C$1:$C$6</c:f>
              <c:strCache>
                <c:ptCount val="6"/>
                <c:pt idx="0">
                  <c:v xml:space="preserve">водоснабжение,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 xml:space="preserve">телефонная связь</c:v>
                </c:pt>
              </c:strCache>
            </c:strRef>
          </c:cat>
          <c:val>
            <c:numRef>
              <c:f xml:space="preserve">'Лист1 (4)'!$B$1:$B$6</c:f>
              <c:numCache>
                <c:formatCode>General</c:formatCode>
                <c:ptCount val="6"/>
                <c:pt idx="0">
                  <c:v>4088</c:v>
                </c:pt>
                <c:pt idx="1">
                  <c:v>11871</c:v>
                </c:pt>
                <c:pt idx="2">
                  <c:v>3561</c:v>
                </c:pt>
                <c:pt idx="3">
                  <c:v>3743</c:v>
                </c:pt>
                <c:pt idx="4">
                  <c:v>3641</c:v>
                </c:pt>
                <c:pt idx="5">
                  <c:v>4250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gapWidth val="150"/>
        <c:axId val="2140841555"/>
        <c:axId val="2140841556"/>
      </c:bar3DChart>
      <c:catAx>
        <c:axId val="214084155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1000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556"/>
        <c:crosses val="autoZero"/>
        <c:auto val="1"/>
        <c:lblAlgn val="ctr"/>
        <c:lblOffset val="100"/>
        <c:tickMarkSkip val="1"/>
        <c:noMultiLvlLbl val="0"/>
      </c:catAx>
      <c:valAx>
        <c:axId val="2140841556"/>
        <c:scaling>
          <c:orientation val="minMax"/>
        </c:scaling>
        <c:delete val="0"/>
        <c:axPos val="b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0%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1000" b="1">
                <a:solidFill>
                  <a:srgbClr val="000000"/>
                </a:solidFill>
                <a:latin typeface="Calibri"/>
                <a:ea typeface="Arial"/>
                <a:cs typeface="Arial"/>
              </a:defRPr>
            </a:pPr>
            <a:endParaRPr/>
          </a:p>
        </c:txPr>
        <c:crossAx val="2140841555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>
        <c:manualLayout>
          <c:xMode val="edge"/>
          <c:yMode val="edge"/>
          <c:x val="0.283520"/>
          <c:y val="0.885140"/>
          <c:w val="0.654250"/>
          <c:h val="0.08146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>
              <a:solidFill>
                <a:srgbClr val="000000"/>
              </a:solidFill>
              <a:latin typeface="Tinos"/>
              <a:ea typeface="Tinos"/>
              <a:cs typeface="Tino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6120129" cy="2397657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0"/>
    <c:view3D>
      <c:rotX val="40"/>
      <c:rotY val="150"/>
      <c:depthPercent val="100"/>
      <c:rAngAx val="0"/>
      <c:perspective val="40"/>
    </c:view3D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045810"/>
          <c:y val="0.022380"/>
          <c:w val="0.534920"/>
          <c:h val="0.923320"/>
        </c:manualLayout>
      </c:layout>
      <c:pie3DChart>
        <c:varyColors val="1"/>
        <c:ser>
          <c:idx val="0"/>
          <c:order val="0"/>
          <c:dPt>
            <c:idx val="0"/>
            <c:spPr bwMode="auto">
              <a:prstGeom prst="rect">
                <a:avLst/>
              </a:prstGeom>
              <a:solidFill>
                <a:srgbClr val="FFC000"/>
              </a:solidFill>
              <a:ln>
                <a:noFill/>
              </a:ln>
            </c:spPr>
          </c:dPt>
          <c:dPt>
            <c:idx val="1"/>
            <c:spPr bwMode="auto">
              <a:prstGeom prst="rect">
                <a:avLst/>
              </a:prstGeom>
              <a:solidFill>
                <a:srgbClr val="00B0F0"/>
              </a:solidFill>
              <a:ln>
                <a:noFill/>
              </a:ln>
            </c:spPr>
          </c:dPt>
          <c:dPt>
            <c:idx val="2"/>
            <c:spPr bwMode="auto">
              <a:prstGeom prst="rect">
                <a:avLst/>
              </a:prstGeom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3"/>
            <c:spPr bwMode="auto">
              <a:prstGeom prst="rect">
                <a:avLst/>
              </a:prstGeom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4"/>
            <c:spPr bwMode="auto">
              <a:prstGeom prst="rect">
                <a:avLst/>
              </a:prstGeom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5"/>
            <c:spPr bwMode="auto">
              <a:prstGeom prst="rect">
                <a:avLst/>
              </a:prstGeom>
              <a:solidFill>
                <a:srgbClr val="FFFF00"/>
              </a:solidFill>
              <a:ln>
                <a:noFill/>
              </a:ln>
            </c:spPr>
          </c:dPt>
          <c:dPt>
            <c:idx val="6"/>
            <c:spPr bwMode="auto">
              <a:prstGeom prst="rect">
                <a:avLst/>
              </a:prstGeom>
              <a:solidFill>
                <a:srgbClr val="E0B596"/>
              </a:solidFill>
              <a:ln>
                <a:noFill/>
              </a:ln>
            </c:spPr>
          </c:dPt>
          <c:dLbls>
            <c:dLbl>
              <c:idx val="0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 sz="900"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defRPr>
                    </a:pPr>
                    <a:r>
                      <a:rPr sz="1000"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rPr>
                      <a:t>5,8%</a:t>
                    </a:r>
                    <a:endParaRPr sz="1000" b="1">
                      <a:solidFill>
                        <a:srgbClr val="000000"/>
                      </a:solidFill>
                      <a:latin typeface="Tinos"/>
                      <a:cs typeface="Tinos"/>
                    </a:endParaRPr>
                  </a:p>
                </c:rich>
              </c:tx>
              <c:txPr>
                <a:bodyPr/>
                <a:p>
                  <a:pPr>
                    <a:defRPr sz="1000" b="1">
                      <a:solidFill>
                        <a:srgbClr val="000000"/>
                      </a:solidFill>
                      <a:latin typeface="Tinos"/>
                      <a:ea typeface="Tinos"/>
                      <a:cs typeface="Tinos"/>
                    </a:defRPr>
                  </a:pPr>
                  <a:endParaRPr/>
                </a:p>
              </c:txPr>
            </c:dLbl>
            <c:dLbl>
              <c:idx val="1"/>
              <c:dLblPos val="inEnd"/>
              <c:layout>
                <c:manualLayout>
                  <c:x val="0.046580"/>
                  <c:y val="-0.05059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 sz="900"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defRPr>
                    </a:pPr>
                    <a:r>
                      <a:rPr sz="1000"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rPr>
                      <a:t>4,8%</a:t>
                    </a:r>
                    <a:endParaRPr sz="1000" b="1">
                      <a:solidFill>
                        <a:srgbClr val="000000"/>
                      </a:solidFill>
                      <a:latin typeface="Tinos"/>
                      <a:cs typeface="Tinos"/>
                    </a:endParaRPr>
                  </a:p>
                </c:rich>
              </c:tx>
              <c:txPr>
                <a:bodyPr/>
                <a:p>
                  <a:pPr>
                    <a:defRPr sz="1000" b="1">
                      <a:solidFill>
                        <a:srgbClr val="000000"/>
                      </a:solidFill>
                      <a:latin typeface="Tinos"/>
                      <a:ea typeface="Tinos"/>
                      <a:cs typeface="Tinos"/>
                    </a:defRPr>
                  </a:pPr>
                  <a:endParaRPr/>
                </a:p>
              </c:txPr>
            </c:dLbl>
            <c:dLbl>
              <c:idx val="2"/>
              <c:dLblPos val="inEnd"/>
              <c:layout>
                <c:manualLayout>
                  <c:x val="0.001550"/>
                  <c:y val="0.00000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 sz="900"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defRPr>
                    </a:pPr>
                    <a:r>
                      <a:rPr sz="1000"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rPr>
                      <a:t>5,1%</a:t>
                    </a:r>
                    <a:endParaRPr sz="1000" b="1">
                      <a:solidFill>
                        <a:srgbClr val="000000"/>
                      </a:solidFill>
                      <a:latin typeface="Tinos"/>
                      <a:cs typeface="Tinos"/>
                    </a:endParaRPr>
                  </a:p>
                </c:rich>
              </c:tx>
              <c:txPr>
                <a:bodyPr/>
                <a:p>
                  <a:pPr>
                    <a:defRPr sz="1000" b="1">
                      <a:solidFill>
                        <a:srgbClr val="000000"/>
                      </a:solidFill>
                      <a:latin typeface="Tinos"/>
                      <a:ea typeface="Tinos"/>
                      <a:cs typeface="Tinos"/>
                    </a:defRPr>
                  </a:pPr>
                  <a:endParaRPr/>
                </a:p>
              </c:txPr>
            </c:dLbl>
            <c:dLbl>
              <c:idx val="3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 sz="900"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defRPr>
                    </a:pPr>
                    <a:r>
                      <a:rPr sz="1000"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rPr>
                      <a:t>5,6%</a:t>
                    </a:r>
                    <a:endParaRPr sz="1000" b="1">
                      <a:solidFill>
                        <a:srgbClr val="000000"/>
                      </a:solidFill>
                      <a:latin typeface="Tinos"/>
                      <a:cs typeface="Tinos"/>
                    </a:endParaRPr>
                  </a:p>
                </c:rich>
              </c:tx>
              <c:txPr>
                <a:bodyPr/>
                <a:p>
                  <a:pPr>
                    <a:defRPr sz="1000" b="1">
                      <a:solidFill>
                        <a:srgbClr val="000000"/>
                      </a:solidFill>
                      <a:latin typeface="Tinos"/>
                      <a:ea typeface="Tinos"/>
                      <a:cs typeface="Tinos"/>
                    </a:defRPr>
                  </a:pPr>
                  <a:endParaRPr/>
                </a:p>
              </c:txPr>
            </c:dLbl>
            <c:dLbl>
              <c:idx val="4"/>
              <c:dLblPos val="inEnd"/>
              <c:layout>
                <c:manualLayout>
                  <c:x val="0.001550"/>
                  <c:y val="0.00000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 sz="900"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defRPr>
                    </a:pPr>
                    <a:r>
                      <a:rPr sz="1000"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rPr>
                      <a:t>5,7%</a:t>
                    </a:r>
                    <a:endParaRPr sz="1000" b="1">
                      <a:solidFill>
                        <a:srgbClr val="000000"/>
                      </a:solidFill>
                      <a:latin typeface="Tinos"/>
                      <a:cs typeface="Tinos"/>
                    </a:endParaRPr>
                  </a:p>
                </c:rich>
              </c:tx>
              <c:txPr>
                <a:bodyPr/>
                <a:p>
                  <a:pPr>
                    <a:defRPr sz="1000" b="1">
                      <a:solidFill>
                        <a:srgbClr val="000000"/>
                      </a:solidFill>
                      <a:latin typeface="Tinos"/>
                      <a:ea typeface="Tinos"/>
                      <a:cs typeface="Tinos"/>
                    </a:defRPr>
                  </a:pPr>
                  <a:endParaRPr/>
                </a:p>
              </c:txPr>
            </c:dLbl>
            <c:dLbl>
              <c:idx val="5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 sz="900"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defRPr>
                    </a:pPr>
                    <a:r>
                      <a:rPr sz="1000"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rPr>
                      <a:t>34,3%</a:t>
                    </a:r>
                    <a:endParaRPr sz="1000" b="1">
                      <a:solidFill>
                        <a:srgbClr val="000000"/>
                      </a:solidFill>
                      <a:latin typeface="Tinos"/>
                      <a:cs typeface="Tinos"/>
                    </a:endParaRPr>
                  </a:p>
                </c:rich>
              </c:tx>
              <c:txPr>
                <a:bodyPr/>
                <a:p>
                  <a:pPr>
                    <a:defRPr sz="1000" b="1">
                      <a:solidFill>
                        <a:srgbClr val="000000"/>
                      </a:solidFill>
                      <a:latin typeface="Tinos"/>
                      <a:ea typeface="Tinos"/>
                      <a:cs typeface="Tinos"/>
                    </a:defRPr>
                  </a:pPr>
                  <a:endParaRPr/>
                </a:p>
              </c:txPr>
            </c:dLbl>
            <c:dLbl>
              <c:idx val="6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 sz="900"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defRPr>
                    </a:pPr>
                    <a:r>
                      <a:rPr sz="1000"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rPr>
                      <a:t>38,7%</a:t>
                    </a:r>
                    <a:endParaRPr sz="1000" b="1">
                      <a:solidFill>
                        <a:srgbClr val="000000"/>
                      </a:solidFill>
                      <a:latin typeface="Tinos"/>
                      <a:cs typeface="Tinos"/>
                    </a:endParaRPr>
                  </a:p>
                </c:rich>
              </c:tx>
              <c:txPr>
                <a:bodyPr/>
                <a:p>
                  <a:pPr>
                    <a:defRPr sz="1000" b="1">
                      <a:solidFill>
                        <a:srgbClr val="000000"/>
                      </a:solidFill>
                      <a:latin typeface="Tinos"/>
                      <a:ea typeface="Tinos"/>
                      <a:cs typeface="Tinos"/>
                    </a:defRPr>
                  </a:pPr>
                  <a:endParaRPr/>
                </a:p>
              </c:txPr>
            </c:dLbl>
            <c:dLblPos val="inEnd"/>
            <c:separator xml:space="preserve">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1000" b="1">
                    <a:solidFill>
                      <a:srgbClr val="000000"/>
                    </a:solidFill>
                    <a:latin typeface="Tinos"/>
                    <a:ea typeface="Tinos"/>
                    <a:cs typeface="Tinos"/>
                  </a:defRPr>
                </a:pPr>
                <a:endParaRPr/>
              </a:p>
            </c:txPr>
          </c:dLbls>
          <c:cat>
            <c:strRef>
              <c:f xml:space="preserve">'Лист1 (5)'!$B$1:$B$7</c:f>
              <c:strCache>
                <c:ptCount val="7"/>
                <c:pt idx="0">
                  <c:v xml:space="preserve">взимание дополнительной платы</c:v>
                </c:pt>
                <c:pt idx="1">
                  <c:v xml:space="preserve">навязывание дополнительных услуг</c:v>
                </c:pt>
                <c:pt idx="2">
                  <c:v xml:space="preserve">отказ в установке приборов учета</c:v>
                </c:pt>
                <c:pt idx="3">
                  <c:v xml:space="preserve">проблемы с заменой приборов учета</c:v>
                </c:pt>
                <c:pt idx="4">
                  <c:v xml:space="preserve">требование заказа необходимах работ у подконтрольных структур</c:v>
                </c:pt>
                <c:pt idx="5">
                  <c:v xml:space="preserve">не сталкивался в подобными проблемами</c:v>
                </c:pt>
                <c:pt idx="6">
                  <c:v xml:space="preserve">не взаимодействовал с СЕМ</c:v>
                </c:pt>
              </c:strCache>
            </c:strRef>
          </c:cat>
          <c:val>
            <c:numRef>
              <c:f xml:space="preserve">'Лист1 (5)'!$A$1:$A$7</c:f>
              <c:numCache>
                <c:formatCode>General</c:formatCode>
                <c:ptCount val="7"/>
                <c:pt idx="0">
                  <c:v>1953</c:v>
                </c:pt>
                <c:pt idx="1">
                  <c:v>1587</c:v>
                </c:pt>
                <c:pt idx="2">
                  <c:v>1697</c:v>
                </c:pt>
                <c:pt idx="3">
                  <c:v>1866</c:v>
                </c:pt>
                <c:pt idx="4">
                  <c:v>1889</c:v>
                </c:pt>
                <c:pt idx="5">
                  <c:v>11424</c:v>
                </c:pt>
                <c:pt idx="6">
                  <c:v>12884</c:v>
                </c:pt>
              </c:numCache>
            </c:numRef>
          </c:val>
        </c:ser>
        <c:dLbls>
          <c:dLblPos val="inEnd"/>
          <c:separator xml:space="preserve"> </c:separator>
          <c:showBubbleSize val="0"/>
          <c:showCatName val="0"/>
          <c:showLeaderLines val="0"/>
          <c:showLegendKey val="0"/>
          <c:showPercent val="0"/>
          <c:showSerName val="0"/>
          <c:showVal val="1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</c:pie3DChart>
      <c:spPr bwMode="auto">
        <a:prstGeom prst="rect">
          <a:avLst/>
        </a:prstGeom>
        <a:noFill/>
        <a:ln w="12699">
          <a:solidFill>
            <a:schemeClr val="tx1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58440"/>
          <c:y val="0.020870"/>
          <c:w val="0.328350"/>
          <c:h val="0.89579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>
              <a:solidFill>
                <a:srgbClr val="000000"/>
              </a:solidFill>
              <a:latin typeface="Tinos"/>
              <a:ea typeface="Tinos"/>
              <a:cs typeface="Tino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6120129" cy="2458980"/>
    </a:xfrm>
    <a:prstGeom prst="rect">
      <a:avLst/>
    </a:prstGeom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</c:spPr>
  <c:txPr>
    <a:bodyPr/>
    <a:p>
      <a:pPr>
        <a:defRPr sz="900">
          <a:solidFill>
            <a:schemeClr val="tx2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30"/>
      <c:rotY val="30"/>
      <c:rAngAx val="0"/>
      <c:perspective val="30"/>
    </c:view3D>
    <c:floor>
      <c:spPr bwMode="auto">
        <a:prstGeom prst="rect">
          <a:avLst/>
        </a:prstGeom>
        <a:solidFill>
          <a:srgbClr val="D9D9D9"/>
        </a:solidFill>
        <a:ln w="0">
          <a:noFill/>
          <a:round/>
        </a:ln>
      </c:spPr>
    </c:floor>
    <c:sideWall>
      <c:spPr bwMode="auto">
        <a:prstGeom prst="rect">
          <a:avLst/>
        </a:prstGeom>
        <a:solidFill>
          <a:srgbClr val="D9D9D9"/>
        </a:solidFill>
        <a:ln w="0">
          <a:noFill/>
        </a:ln>
      </c:spPr>
    </c:sideWall>
    <c:backWall>
      <c:spPr bwMode="auto">
        <a:prstGeom prst="rect">
          <a:avLst/>
        </a:prstGeom>
        <a:solidFill>
          <a:srgbClr val="D9D9D9"/>
        </a:solidFill>
        <a:ln w="0">
          <a:noFill/>
        </a:ln>
      </c:spPr>
    </c:backWall>
    <c:plotArea>
      <c:layout>
        <c:manualLayout>
          <c:layoutTarget val="inner"/>
          <c:xMode val="edge"/>
          <c:yMode val="edge"/>
          <c:x val="0.189490"/>
          <c:y val="0.123670"/>
          <c:w val="0.655250"/>
          <c:h val="0.821970"/>
        </c:manualLayout>
      </c:layout>
      <c:pie3DChart>
        <c:varyColors val="1"/>
        <c:ser>
          <c:idx val="0"/>
          <c:order val="0"/>
          <c:tx>
            <c:strRef>
              <c:f xml:space="preserve">label 0</c:f>
              <c:strCache>
                <c:ptCount val="1"/>
                <c:pt idx="0">
                  <c:v>Столбец1</c:v>
                </c:pt>
              </c:strCache>
            </c:strRef>
          </c:tx>
          <c:spPr bwMode="auto">
            <a:prstGeom prst="rect">
              <a:avLst/>
            </a:prstGeom>
            <a:solidFill>
              <a:srgbClr val="C00000"/>
            </a:solidFill>
            <a:ln w="0">
              <a:noFill/>
            </a:ln>
          </c:spPr>
          <c:explosion val="30"/>
          <c:dPt>
            <c:idx val="0"/>
            <c:explosion val="30"/>
            <c:spPr bwMode="auto">
              <a:prstGeom prst="rect">
                <a:avLst/>
              </a:prstGeom>
              <a:solidFill>
                <a:srgbClr val="954ECA"/>
              </a:solidFill>
              <a:ln w="0">
                <a:noFill/>
              </a:ln>
            </c:spPr>
          </c:dPt>
          <c:dPt>
            <c:idx val="1"/>
            <c:explosion val="30"/>
            <c:spPr bwMode="auto">
              <a:prstGeom prst="rect">
                <a:avLst/>
              </a:prstGeom>
              <a:solidFill>
                <a:srgbClr val="FFD54F"/>
              </a:solidFill>
              <a:ln w="0">
                <a:noFill/>
              </a:ln>
            </c:spPr>
          </c:dPt>
          <c:dPt>
            <c:idx val="2"/>
            <c:explosion val="30"/>
            <c:spPr bwMode="auto">
              <a:prstGeom prst="rect">
                <a:avLst/>
              </a:prstGeom>
              <a:solidFill>
                <a:srgbClr val="FF9999"/>
              </a:solidFill>
              <a:ln w="0">
                <a:noFill/>
              </a:ln>
            </c:spPr>
          </c:dPt>
          <c:dPt>
            <c:idx val="3"/>
            <c:explosion val="30"/>
            <c:spPr bwMode="auto">
              <a:prstGeom prst="rect">
                <a:avLst/>
              </a:prstGeom>
              <a:solidFill>
                <a:srgbClr val="37CBFF"/>
              </a:solidFill>
              <a:ln w="0">
                <a:noFill/>
              </a:ln>
            </c:spPr>
          </c:dPt>
          <c:dPt>
            <c:idx val="4"/>
            <c:explosion val="30"/>
            <c:spPr bwMode="auto">
              <a:prstGeom prst="rect">
                <a:avLst/>
              </a:prstGeom>
              <a:solidFill>
                <a:srgbClr val="F013A3"/>
              </a:solidFill>
              <a:ln w="0">
                <a:noFill/>
              </a:ln>
            </c:spPr>
          </c:dPt>
          <c:dPt>
            <c:idx val="5"/>
            <c:explosion val="30"/>
            <c:spPr bwMode="auto">
              <a:prstGeom prst="rect">
                <a:avLst/>
              </a:prstGeom>
              <a:solidFill>
                <a:srgbClr val="FFFF00"/>
              </a:solidFill>
              <a:ln w="0">
                <a:noFill/>
              </a:ln>
            </c:spPr>
          </c:dPt>
          <c:dPt>
            <c:idx val="6"/>
            <c:explosion val="30"/>
            <c:spPr bwMode="auto">
              <a:prstGeom prst="rect">
                <a:avLst/>
              </a:prstGeom>
              <a:solidFill>
                <a:srgbClr val="FB75DE"/>
              </a:solidFill>
              <a:ln w="0">
                <a:noFill/>
              </a:ln>
            </c:spPr>
          </c:dPt>
          <c:dPt>
            <c:idx val="7"/>
            <c:explosion val="30"/>
            <c:spPr bwMode="auto">
              <a:prstGeom prst="rect">
                <a:avLst/>
              </a:prstGeom>
              <a:solidFill>
                <a:srgbClr val="84F856"/>
              </a:solidFill>
              <a:ln w="0">
                <a:noFill/>
              </a:ln>
            </c:spPr>
          </c:dPt>
          <c:dPt>
            <c:idx val="8"/>
            <c:explosion val="30"/>
            <c:spPr bwMode="auto">
              <a:prstGeom prst="rect">
                <a:avLst/>
              </a:prstGeom>
              <a:solidFill>
                <a:srgbClr val="3366FF"/>
              </a:solidFill>
              <a:ln w="0">
                <a:noFill/>
              </a:ln>
            </c:spPr>
          </c:dPt>
          <c:dPt>
            <c:idx val="9"/>
            <c:explosion val="30"/>
            <c:spPr bwMode="auto">
              <a:prstGeom prst="rect">
                <a:avLst/>
              </a:prstGeom>
              <a:solidFill>
                <a:srgbClr val="FF5050"/>
              </a:solidFill>
              <a:ln w="0">
                <a:noFill/>
              </a:ln>
            </c:spPr>
          </c:dPt>
          <c:dPt>
            <c:idx val="10"/>
            <c:explosion val="30"/>
            <c:spPr bwMode="auto">
              <a:prstGeom prst="rect">
                <a:avLst/>
              </a:prstGeom>
              <a:solidFill>
                <a:srgbClr val="FFC000"/>
              </a:solidFill>
              <a:ln w="0">
                <a:noFill/>
              </a:ln>
            </c:spPr>
          </c:dPt>
          <c:dPt>
            <c:idx val="11"/>
            <c:explosion val="30"/>
            <c:spPr bwMode="auto">
              <a:prstGeom prst="rect">
                <a:avLst/>
              </a:prstGeom>
              <a:solidFill>
                <a:srgbClr val="C00000"/>
              </a:solidFill>
              <a:ln w="0">
                <a:noFill/>
              </a:ln>
            </c:spPr>
          </c:dPt>
          <c:dLbls>
            <c:dLbl>
              <c:idx val="0"/>
              <c:dLblPos val="outEnd"/>
              <c:layout>
                <c:manualLayout>
                  <c:x val="-0.025720"/>
                  <c:y val="0.06178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1"/>
              <c:showSerName val="0"/>
              <c:showVal val="0"/>
              <c:tx>
                <c:rich>
                  <a:bodyPr wrap="square"/>
                  <a:p>
                    <a:pPr>
                      <a:defRPr sz="800" b="0" strike="noStrike" spc="0">
                        <a:solidFill>
                          <a:srgbClr val="000000"/>
                        </a:solidFill>
                        <a:latin typeface="Times New Roman"/>
                        <a:ea typeface="DejaVu Sans"/>
                      </a:defRPr>
                    </a:pPr>
                    <a:r>
                      <a:rPr/>
                      <a:t>здравоохранение</a:t>
                    </a:r>
                    <a:br>
                      <a:rPr/>
                    </a:br>
                    <a:r>
                      <a:rPr/>
                      <a:t>8%</a:t>
                    </a:r>
                    <a:endParaRPr/>
                  </a:p>
                </c:rich>
              </c:tx>
              <c:txPr>
                <a:bodyPr wrap="square"/>
                <a:lstStyle/>
                <a:p>
                  <a:pPr>
                    <a:defRPr sz="800" b="0" strike="noStrike" spc="0">
                      <a:solidFill>
                        <a:srgbClr val="000000"/>
                      </a:solidFill>
                      <a:latin typeface="Times New Roman"/>
                      <a:ea typeface="DejaVu Sans"/>
                    </a:defRPr>
                  </a:pPr>
                  <a:endParaRPr/>
                </a:p>
              </c:txPr>
            </c:dLbl>
            <c:dLbl>
              <c:idx val="1"/>
              <c:dLblPos val="outEnd"/>
              <c:layout>
                <c:manualLayout>
                  <c:x val="-0.077160"/>
                  <c:y val="0.08008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1"/>
              <c:showSerName val="0"/>
              <c:showVal val="0"/>
              <c:txPr>
                <a:bodyPr wrap="square"/>
                <a:lstStyle/>
                <a:p>
                  <a:pPr>
                    <a:defRPr sz="800" b="0" strike="noStrike" spc="0">
                      <a:solidFill>
                        <a:srgbClr val="000000"/>
                      </a:solidFill>
                      <a:latin typeface="Times New Roman"/>
                      <a:ea typeface="DejaVu Sans"/>
                    </a:defRPr>
                  </a:pPr>
                  <a:endParaRPr/>
                </a:p>
              </c:txPr>
            </c:dLbl>
            <c:dLbl>
              <c:idx val="2"/>
              <c:dLblPos val="outEnd"/>
              <c:layout>
                <c:manualLayout>
                  <c:x val="-0.056260"/>
                  <c:y val="-0.02745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1"/>
              <c:showSerName val="0"/>
              <c:showVal val="0"/>
              <c:tx>
                <c:rich>
                  <a:bodyPr wrap="square"/>
                  <a:p>
                    <a:pPr>
                      <a:defRPr sz="800" b="0" strike="noStrike" spc="0">
                        <a:solidFill>
                          <a:srgbClr val="000000"/>
                        </a:solidFill>
                        <a:latin typeface="Times New Roman"/>
                        <a:ea typeface="DejaVu Sans"/>
                      </a:defRPr>
                    </a:pPr>
                    <a:r>
                      <a:rPr/>
                      <a:t>промышленная деятельность</a:t>
                    </a:r>
                    <a:br>
                      <a:rPr/>
                    </a:br>
                    <a:r>
                      <a:rPr/>
                      <a:t>9%</a:t>
                    </a:r>
                    <a:endParaRPr/>
                  </a:p>
                </c:rich>
              </c:tx>
              <c:txPr>
                <a:bodyPr wrap="square"/>
                <a:lstStyle/>
                <a:p>
                  <a:pPr>
                    <a:defRPr sz="800" b="0" strike="noStrike" spc="0">
                      <a:solidFill>
                        <a:srgbClr val="000000"/>
                      </a:solidFill>
                      <a:latin typeface="Times New Roman"/>
                      <a:ea typeface="DejaVu Sans"/>
                    </a:defRPr>
                  </a:pPr>
                  <a:endParaRPr/>
                </a:p>
              </c:txPr>
            </c:dLbl>
            <c:dLbl>
              <c:idx val="3"/>
              <c:dLblPos val="outEnd"/>
              <c:layout>
                <c:manualLayout>
                  <c:x val="-0.117350"/>
                  <c:y val="-0.05949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1"/>
              <c:showSerName val="0"/>
              <c:showVal val="0"/>
              <c:tx>
                <c:rich>
                  <a:bodyPr wrap="square"/>
                  <a:p>
                    <a:pPr>
                      <a:defRPr sz="800" b="0" strike="noStrike" spc="0">
                        <a:solidFill>
                          <a:srgbClr val="000000"/>
                        </a:solidFill>
                        <a:latin typeface="Times New Roman"/>
                        <a:ea typeface="DejaVu Sans"/>
                      </a:defRPr>
                    </a:pPr>
                    <a:r>
                      <a:rPr/>
                      <a:t>потребительский рынок</a:t>
                    </a:r>
                    <a:br>
                      <a:rPr/>
                    </a:br>
                    <a:r>
                      <a:rPr/>
                      <a:t> 10%</a:t>
                    </a:r>
                    <a:endParaRPr/>
                  </a:p>
                </c:rich>
              </c:tx>
              <c:txPr>
                <a:bodyPr wrap="square"/>
                <a:lstStyle/>
                <a:p>
                  <a:pPr>
                    <a:defRPr sz="800" b="0" strike="noStrike" spc="0">
                      <a:solidFill>
                        <a:srgbClr val="000000"/>
                      </a:solidFill>
                      <a:latin typeface="Times New Roman"/>
                      <a:ea typeface="DejaVu Sans"/>
                    </a:defRPr>
                  </a:pPr>
                  <a:endParaRPr/>
                </a:p>
              </c:txPr>
            </c:dLbl>
            <c:dLbl>
              <c:idx val="4"/>
              <c:dLblPos val="outEnd"/>
              <c:layout>
                <c:manualLayout>
                  <c:x val="-0.064300"/>
                  <c:y val="-0.02974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1"/>
              <c:showSerName val="0"/>
              <c:showVal val="0"/>
              <c:txPr>
                <a:bodyPr wrap="square"/>
                <a:lstStyle/>
                <a:p>
                  <a:pPr>
                    <a:defRPr sz="800" b="0" strike="noStrike" spc="0">
                      <a:solidFill>
                        <a:srgbClr val="000000"/>
                      </a:solidFill>
                      <a:latin typeface="Times New Roman"/>
                      <a:ea typeface="DejaVu Sans"/>
                    </a:defRPr>
                  </a:pPr>
                  <a:endParaRPr/>
                </a:p>
              </c:txPr>
            </c:dLbl>
            <c:dLbl>
              <c:idx val="5"/>
              <c:dLblPos val="outEnd"/>
              <c:layout>
                <c:manualLayout>
                  <c:x val="0.090020"/>
                  <c:y val="-0.04576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1"/>
              <c:showSerName val="0"/>
              <c:showVal val="0"/>
              <c:txPr>
                <a:bodyPr wrap="square"/>
                <a:lstStyle/>
                <a:p>
                  <a:pPr>
                    <a:defRPr sz="800" b="0" strike="noStrike" spc="0">
                      <a:solidFill>
                        <a:srgbClr val="000000"/>
                      </a:solidFill>
                      <a:latin typeface="Times New Roman"/>
                      <a:ea typeface="DejaVu Sans"/>
                    </a:defRPr>
                  </a:pPr>
                  <a:endParaRPr/>
                </a:p>
              </c:txPr>
            </c:dLbl>
            <c:dLbl>
              <c:idx val="6"/>
              <c:dLblPos val="outEnd"/>
              <c:layout>
                <c:manualLayout>
                  <c:x val="0.123780"/>
                  <c:y val="-0.04118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1"/>
              <c:showSerName val="0"/>
              <c:showVal val="0"/>
              <c:txPr>
                <a:bodyPr wrap="square"/>
                <a:lstStyle/>
                <a:p>
                  <a:pPr>
                    <a:defRPr sz="800" b="0" strike="noStrike" spc="0">
                      <a:solidFill>
                        <a:srgbClr val="000000"/>
                      </a:solidFill>
                      <a:latin typeface="Times New Roman"/>
                      <a:ea typeface="DejaVu Sans"/>
                    </a:defRPr>
                  </a:pPr>
                  <a:endParaRPr/>
                </a:p>
              </c:txPr>
            </c:dLbl>
            <c:dLbl>
              <c:idx val="7"/>
              <c:dLblPos val="outEnd"/>
              <c:layout>
                <c:manualLayout>
                  <c:x val="0.064300"/>
                  <c:y val="-0.00228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1"/>
              <c:showSerName val="0"/>
              <c:showVal val="0"/>
              <c:tx>
                <c:rich>
                  <a:bodyPr wrap="square"/>
                  <a:p>
                    <a:pPr>
                      <a:defRPr sz="800" b="0" strike="noStrike" spc="0">
                        <a:solidFill>
                          <a:srgbClr val="000000"/>
                        </a:solidFill>
                        <a:latin typeface="Times New Roman"/>
                        <a:ea typeface="DejaVu Sans"/>
                      </a:defRPr>
                    </a:pPr>
                    <a:r>
                      <a:rPr/>
                      <a:t>ЖКХ</a:t>
                    </a:r>
                    <a:br>
                      <a:rPr/>
                    </a:br>
                    <a:r>
                      <a:rPr/>
                      <a:t> 8%</a:t>
                    </a:r>
                    <a:endParaRPr/>
                  </a:p>
                </c:rich>
              </c:tx>
              <c:txPr>
                <a:bodyPr wrap="square"/>
                <a:lstStyle/>
                <a:p>
                  <a:pPr>
                    <a:defRPr sz="800" b="0" strike="noStrike" spc="0">
                      <a:solidFill>
                        <a:srgbClr val="000000"/>
                      </a:solidFill>
                      <a:latin typeface="Times New Roman"/>
                      <a:ea typeface="DejaVu Sans"/>
                    </a:defRPr>
                  </a:pPr>
                  <a:endParaRPr/>
                </a:p>
              </c:txPr>
            </c:dLbl>
            <c:dLbl>
              <c:idx val="8"/>
              <c:dLblPos val="outEnd"/>
              <c:layout>
                <c:manualLayout>
                  <c:x val="0.027320"/>
                  <c:y val="0.07093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1"/>
              <c:showSerName val="0"/>
              <c:showVal val="0"/>
              <c:txPr>
                <a:bodyPr wrap="square"/>
                <a:lstStyle/>
                <a:p>
                  <a:pPr>
                    <a:defRPr sz="800" b="0" strike="noStrike" spc="0">
                      <a:solidFill>
                        <a:srgbClr val="000000"/>
                      </a:solidFill>
                      <a:latin typeface="Times New Roman"/>
                      <a:ea typeface="DejaVu Sans"/>
                    </a:defRPr>
                  </a:pPr>
                  <a:endParaRPr/>
                </a:p>
              </c:txPr>
            </c:dLbl>
            <c:dLbl>
              <c:idx val="9"/>
              <c:dLblPos val="outEnd"/>
              <c:layout>
                <c:manualLayout>
                  <c:x val="0.004810"/>
                  <c:y val="0.06407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1"/>
              <c:showSerName val="0"/>
              <c:showVal val="0"/>
              <c:tx>
                <c:rich>
                  <a:bodyPr wrap="square"/>
                  <a:p>
                    <a:pPr>
                      <a:defRPr sz="800" b="0" strike="noStrike" spc="0">
                        <a:solidFill>
                          <a:srgbClr val="000000"/>
                        </a:solidFill>
                        <a:latin typeface="Times New Roman"/>
                        <a:ea typeface="DejaVu Sans"/>
                      </a:defRPr>
                    </a:pPr>
                    <a:r>
                      <a:rPr/>
                      <a:t>социальная сфера</a:t>
                    </a:r>
                    <a:br>
                      <a:rPr/>
                    </a:br>
                    <a:r>
                      <a:rPr/>
                      <a:t> 9%</a:t>
                    </a:r>
                    <a:endParaRPr/>
                  </a:p>
                </c:rich>
              </c:tx>
              <c:txPr>
                <a:bodyPr wrap="square"/>
                <a:lstStyle/>
                <a:p>
                  <a:pPr>
                    <a:defRPr sz="800" b="0" strike="noStrike" spc="0">
                      <a:solidFill>
                        <a:srgbClr val="000000"/>
                      </a:solidFill>
                      <a:latin typeface="Times New Roman"/>
                      <a:ea typeface="DejaVu Sans"/>
                    </a:defRPr>
                  </a:pPr>
                  <a:endParaRPr/>
                </a:p>
              </c:txPr>
            </c:dLbl>
            <c:dLbl>
              <c:idx val="10"/>
              <c:dLblPos val="outEnd"/>
              <c:layout>
                <c:manualLayout>
                  <c:x val="0.025720"/>
                  <c:y val="0.04347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1"/>
              <c:showSerName val="0"/>
              <c:showVal val="0"/>
              <c:tx>
                <c:rich>
                  <a:bodyPr wrap="square"/>
                  <a:p>
                    <a:pPr>
                      <a:defRPr sz="800" b="0" strike="noStrike" spc="0">
                        <a:solidFill>
                          <a:srgbClr val="000000"/>
                        </a:solidFill>
                        <a:latin typeface="Times New Roman"/>
                        <a:ea typeface="DejaVu Sans"/>
                      </a:defRPr>
                    </a:pPr>
                    <a:r>
                      <a:rPr/>
                      <a:t>сфера образования</a:t>
                    </a:r>
                    <a:br>
                      <a:rPr/>
                    </a:br>
                    <a:r>
                      <a:rPr/>
                      <a:t> 8%</a:t>
                    </a:r>
                    <a:endParaRPr/>
                  </a:p>
                </c:rich>
              </c:tx>
              <c:txPr>
                <a:bodyPr wrap="square"/>
                <a:lstStyle/>
                <a:p>
                  <a:pPr>
                    <a:defRPr sz="800" b="0" strike="noStrike" spc="0">
                      <a:solidFill>
                        <a:srgbClr val="000000"/>
                      </a:solidFill>
                      <a:latin typeface="Times New Roman"/>
                      <a:ea typeface="DejaVu Sans"/>
                    </a:defRPr>
                  </a:pPr>
                  <a:endParaRPr/>
                </a:p>
              </c:txPr>
            </c:dLbl>
            <c:dLbl>
              <c:idx val="11"/>
              <c:dLblPos val="outEnd"/>
              <c:layout>
                <c:manualLayout>
                  <c:x val="-0.011250"/>
                  <c:y val="0.03889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1"/>
              <c:showSerName val="0"/>
              <c:showVal val="0"/>
              <c:txPr>
                <a:bodyPr wrap="square"/>
                <a:lstStyle/>
                <a:p>
                  <a:pPr>
                    <a:defRPr sz="800" b="0" strike="noStrike" spc="0">
                      <a:solidFill>
                        <a:srgbClr val="000000"/>
                      </a:solidFill>
                      <a:latin typeface="Times New Roman"/>
                      <a:ea typeface="DejaVu Sans"/>
                    </a:defRPr>
                  </a:pPr>
                  <a:endParaRPr/>
                </a:p>
              </c:txPr>
            </c:dLbl>
            <c:dLblPos val="outEnd"/>
            <c:separator xml:space="preserve">
</c:separator>
            <c:showBubbleSize val="0"/>
            <c:showCatName val="1"/>
            <c:showLeaderLines val="1"/>
            <c:showLegendKey val="0"/>
            <c:showPercent val="1"/>
            <c:showSerName val="0"/>
            <c:showVal val="0"/>
            <c:txPr>
              <a:bodyPr wrap="square"/>
              <a:lstStyle/>
              <a:p>
                <a:pPr>
                  <a:defRPr sz="800" b="0" strike="noStrike" spc="0">
                    <a:solidFill>
                      <a:srgbClr val="000000"/>
                    </a:solidFill>
                    <a:latin typeface="Times New Roman"/>
                    <a:ea typeface="Arial"/>
                  </a:defRPr>
                </a:pPr>
                <a:endParaRPr/>
              </a:p>
            </c:txPr>
          </c:dLbls>
          <c:cat>
            <c:strRef>
              <c:f>categories</c:f>
              <c:strCache>
                <c:ptCount val="12"/>
                <c:pt idx="0">
                  <c:v>здравоохранение</c:v>
                </c:pt>
                <c:pt idx="1">
                  <c:v>АПК</c:v>
                </c:pt>
                <c:pt idx="2">
                  <c:v xml:space="preserve">промышленная деятельность</c:v>
                </c:pt>
                <c:pt idx="3">
                  <c:v xml:space="preserve">потребительский рынок</c:v>
                </c:pt>
                <c:pt idx="4">
                  <c:v>строительство</c:v>
                </c:pt>
                <c:pt idx="5">
                  <c:v xml:space="preserve">транспортный комплекс</c:v>
                </c:pt>
                <c:pt idx="6">
                  <c:v xml:space="preserve">санаторно-курортный комплекс</c:v>
                </c:pt>
                <c:pt idx="7">
                  <c:v>ЖКХ</c:v>
                </c:pt>
                <c:pt idx="8">
                  <c:v xml:space="preserve">информационные технологии</c:v>
                </c:pt>
                <c:pt idx="9">
                  <c:v xml:space="preserve">социальная сфера</c:v>
                </c:pt>
                <c:pt idx="10">
                  <c:v xml:space="preserve">сфера образования</c:v>
                </c:pt>
                <c:pt idx="11">
                  <c:v>спорт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2"/>
                <c:pt idx="0">
                  <c:v>13.81</c:v>
                </c:pt>
                <c:pt idx="1">
                  <c:v>13.42</c:v>
                </c:pt>
                <c:pt idx="2">
                  <c:v>12.98</c:v>
                </c:pt>
                <c:pt idx="3">
                  <c:v>13.54</c:v>
                </c:pt>
                <c:pt idx="4">
                  <c:v>12.66</c:v>
                </c:pt>
                <c:pt idx="5">
                  <c:v>12.9</c:v>
                </c:pt>
                <c:pt idx="6">
                  <c:v>13.4</c:v>
                </c:pt>
                <c:pt idx="7">
                  <c:v>13.75</c:v>
                </c:pt>
                <c:pt idx="8">
                  <c:v>13.07</c:v>
                </c:pt>
                <c:pt idx="9">
                  <c:v>13.12</c:v>
                </c:pt>
                <c:pt idx="10">
                  <c:v>13.56</c:v>
                </c:pt>
                <c:pt idx="11">
                  <c:v>12.65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</c:pie3DChart>
    </c:plotArea>
    <c:plotVisOnly val="1"/>
    <c:dispBlanksAs val="gap"/>
    <c:showDLblsOverMax val="0"/>
  </c:chart>
  <c:spPr bwMode="auto">
    <a:xfrm>
      <a:off x="0" y="0"/>
      <a:ext cx="6035016" cy="2837468"/>
    </a:xfrm>
    <a:prstGeom prst="rect">
      <a:avLst/>
    </a:prstGeom>
    <a:solidFill>
      <a:srgbClr val="FFFFFF"/>
    </a:solidFill>
    <a:ln w="9360">
      <a:solidFill>
        <a:srgbClr val="D9D9D9"/>
      </a:solidFill>
      <a:round/>
    </a:ln>
  </c:spPr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spPr bwMode="auto">
        <a:prstGeom prst="rect">
          <a:avLst/>
        </a:prstGeom>
        <a:solidFill>
          <a:srgbClr val="D9D9D9"/>
        </a:solidFill>
        <a:ln w="0">
          <a:noFill/>
        </a:ln>
      </c:spPr>
    </c:floor>
    <c:sideWall>
      <c:spPr bwMode="auto">
        <a:prstGeom prst="rect">
          <a:avLst/>
        </a:prstGeom>
        <a:solidFill>
          <a:srgbClr val="D9D9D9"/>
        </a:solidFill>
        <a:ln w="0">
          <a:noFill/>
        </a:ln>
      </c:spPr>
    </c:sideWall>
    <c:backWall>
      <c:spPr bwMode="auto">
        <a:prstGeom prst="rect">
          <a:avLst/>
        </a:prstGeom>
        <a:solidFill>
          <a:srgbClr val="D9D9D9"/>
        </a:solidFill>
        <a:ln w="0">
          <a:noFill/>
        </a:ln>
      </c:spPr>
    </c:backWall>
    <c:plotArea>
      <c:layout>
        <c:manualLayout>
          <c:layoutTarget val="inner"/>
          <c:xMode val="edge"/>
          <c:yMode val="edge"/>
          <c:x val="0.038160"/>
          <c:y val="0.003230"/>
          <c:w val="0.540270"/>
          <c:h val="0.969770"/>
        </c:manualLayout>
      </c:layout>
      <c:pie3DChart>
        <c:varyColors val="1"/>
        <c:ser>
          <c:idx val="0"/>
          <c:order val="0"/>
          <c:tx>
            <c:strRef>
              <c:f xml:space="preserve">label 0</c:f>
              <c:strCache>
                <c:ptCount val="1"/>
                <c:pt idx="0">
                  <c:v xml:space="preserve">географический рынок</c:v>
                </c:pt>
              </c:strCache>
            </c:strRef>
          </c:tx>
          <c:spPr bwMode="auto">
            <a:prstGeom prst="rect">
              <a:avLst/>
            </a:prstGeom>
            <a:solidFill>
              <a:srgbClr val="4F81BD"/>
            </a:solidFill>
            <a:ln w="0">
              <a:noFill/>
              <a:round/>
            </a:ln>
          </c:spPr>
          <c:explosion val="0"/>
          <c:dPt>
            <c:idx val="0"/>
            <c:spPr bwMode="auto">
              <a:prstGeom prst="rect">
                <a:avLst/>
              </a:prstGeom>
              <a:solidFill>
                <a:srgbClr val="FFFF00"/>
              </a:solidFill>
              <a:ln w="0">
                <a:noFill/>
              </a:ln>
            </c:spPr>
          </c:dPt>
          <c:dPt>
            <c:idx val="1"/>
            <c:spPr bwMode="auto">
              <a:prstGeom prst="rect">
                <a:avLst/>
              </a:prstGeom>
              <a:solidFill>
                <a:srgbClr val="66FF33"/>
              </a:solidFill>
              <a:ln w="0">
                <a:noFill/>
                <a:miter/>
              </a:ln>
            </c:spPr>
          </c:dPt>
          <c:dPt>
            <c:idx val="2"/>
            <c:spPr bwMode="auto">
              <a:prstGeom prst="rect">
                <a:avLst/>
              </a:prstGeom>
              <a:solidFill>
                <a:srgbClr val="FF9900"/>
              </a:solidFill>
              <a:ln w="0">
                <a:noFill/>
                <a:round/>
              </a:ln>
            </c:spPr>
          </c:dPt>
          <c:dPt>
            <c:idx val="3"/>
            <c:spPr bwMode="auto">
              <a:prstGeom prst="rect">
                <a:avLst/>
              </a:prstGeom>
              <a:solidFill>
                <a:srgbClr val="66FFFF"/>
              </a:solidFill>
              <a:ln w="0">
                <a:noFill/>
              </a:ln>
            </c:spPr>
          </c:dPt>
          <c:dPt>
            <c:idx val="4"/>
            <c:spPr bwMode="auto">
              <a:prstGeom prst="rect">
                <a:avLst/>
              </a:prstGeom>
              <a:solidFill>
                <a:srgbClr val="00A933"/>
              </a:solidFill>
              <a:ln w="0">
                <a:noFill/>
              </a:ln>
            </c:spPr>
          </c:dPt>
          <c:dPt>
            <c:idx val="5"/>
            <c:spPr bwMode="auto">
              <a:prstGeom prst="rect">
                <a:avLst/>
              </a:prstGeom>
              <a:solidFill>
                <a:srgbClr val="FF00FF"/>
              </a:solidFill>
              <a:ln w="0">
                <a:noFill/>
              </a:ln>
            </c:spPr>
          </c:dPt>
          <c:dLbls>
            <c:dLbl>
              <c:idx val="0"/>
              <c:dLblPos val="outEnd"/>
              <c:layout>
                <c:manualLayout>
                  <c:x val="-0.026460"/>
                  <c:y val="-0.06475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p>
                    <a:pPr>
                      <a:defRPr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defRPr>
                    </a:pPr>
                    <a:r>
                      <a:rPr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rPr>
                      <a:t>53,1%</a:t>
                    </a:r>
                    <a:endParaRPr b="1">
                      <a:solidFill>
                        <a:srgbClr val="000000"/>
                      </a:solidFill>
                      <a:latin typeface="Tinos"/>
                      <a:cs typeface="Tinos"/>
                    </a:endParaRPr>
                  </a:p>
                </c:rich>
              </c:tx>
              <c:txPr>
                <a:bodyPr/>
                <a:p>
                  <a:pPr>
                    <a:defRPr b="1">
                      <a:solidFill>
                        <a:srgbClr val="000000"/>
                      </a:solidFill>
                      <a:latin typeface="Tinos"/>
                      <a:ea typeface="Tinos"/>
                      <a:cs typeface="Tinos"/>
                    </a:defRPr>
                  </a:pPr>
                  <a:endParaRPr/>
                </a:p>
              </c:txPr>
            </c:dLbl>
            <c:dLbl>
              <c:idx val="5"/>
              <c:dLblPos val="outEnd"/>
              <c:layout>
                <c:manualLayout>
                  <c:x val="0.048910"/>
                  <c:y val="0.01618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p>
                    <a:pPr>
                      <a:defRPr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defRPr>
                    </a:pPr>
                    <a:r>
                      <a:rPr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rPr>
                      <a:t>5,3%</a:t>
                    </a:r>
                    <a:endParaRPr b="1">
                      <a:solidFill>
                        <a:srgbClr val="000000"/>
                      </a:solidFill>
                      <a:latin typeface="Tinos"/>
                      <a:cs typeface="Tinos"/>
                    </a:endParaRPr>
                  </a:p>
                </c:rich>
              </c:tx>
              <c:txPr>
                <a:bodyPr/>
                <a:p>
                  <a:pPr>
                    <a:defRPr b="1">
                      <a:solidFill>
                        <a:srgbClr val="000000"/>
                      </a:solidFill>
                      <a:latin typeface="Tinos"/>
                      <a:ea typeface="Tinos"/>
                      <a:cs typeface="Tinos"/>
                    </a:defRPr>
                  </a:pPr>
                  <a:endParaRPr/>
                </a:p>
              </c:txPr>
            </c:dLbl>
            <c:dLbl>
              <c:idx val="4"/>
              <c:dLblPos val="outEnd"/>
              <c:layout>
                <c:manualLayout>
                  <c:x val="0.035860"/>
                  <c:y val="0.01618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p>
                    <a:pPr>
                      <a:defRPr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defRPr>
                    </a:pPr>
                    <a:r>
                      <a:rPr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rPr>
                      <a:t>5,6%</a:t>
                    </a:r>
                    <a:endParaRPr b="1">
                      <a:solidFill>
                        <a:srgbClr val="000000"/>
                      </a:solidFill>
                      <a:latin typeface="Tinos"/>
                      <a:cs typeface="Tinos"/>
                    </a:endParaRPr>
                  </a:p>
                </c:rich>
              </c:tx>
              <c:txPr>
                <a:bodyPr/>
                <a:p>
                  <a:pPr>
                    <a:defRPr b="1">
                      <a:solidFill>
                        <a:srgbClr val="000000"/>
                      </a:solidFill>
                      <a:latin typeface="Tinos"/>
                      <a:ea typeface="Tinos"/>
                      <a:cs typeface="Tinos"/>
                    </a:defRPr>
                  </a:pPr>
                  <a:endParaRPr/>
                </a:p>
              </c:txPr>
            </c:dLbl>
            <c:dLbl>
              <c:idx val="3"/>
              <c:dLblPos val="outEnd"/>
              <c:layout>
                <c:manualLayout>
                  <c:x val="0.021190"/>
                  <c:y val="0.02590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p>
                    <a:pPr>
                      <a:defRPr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defRPr>
                    </a:pPr>
                    <a:r>
                      <a:rPr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rPr>
                      <a:t>6,4%</a:t>
                    </a:r>
                    <a:endParaRPr b="1">
                      <a:solidFill>
                        <a:srgbClr val="000000"/>
                      </a:solidFill>
                      <a:latin typeface="Tinos"/>
                      <a:cs typeface="Tinos"/>
                    </a:endParaRPr>
                  </a:p>
                </c:rich>
              </c:tx>
              <c:txPr>
                <a:bodyPr/>
                <a:p>
                  <a:pPr>
                    <a:defRPr b="1">
                      <a:solidFill>
                        <a:srgbClr val="000000"/>
                      </a:solidFill>
                      <a:latin typeface="Tinos"/>
                      <a:ea typeface="Tinos"/>
                      <a:cs typeface="Tinos"/>
                    </a:defRPr>
                  </a:pPr>
                  <a:endParaRPr/>
                </a:p>
              </c:txPr>
            </c:dLbl>
            <c:dLbl>
              <c:idx val="2"/>
              <c:dLblPos val="outEnd"/>
              <c:layout>
                <c:manualLayout>
                  <c:x val="0.003260"/>
                  <c:y val="0.04532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p>
                    <a:pPr>
                      <a:defRPr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defRPr>
                    </a:pPr>
                    <a:r>
                      <a:rPr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rPr>
                      <a:t>6,3%</a:t>
                    </a:r>
                    <a:endParaRPr b="1">
                      <a:solidFill>
                        <a:srgbClr val="000000"/>
                      </a:solidFill>
                      <a:latin typeface="Tinos"/>
                      <a:cs typeface="Tinos"/>
                    </a:endParaRPr>
                  </a:p>
                </c:rich>
              </c:tx>
              <c:txPr>
                <a:bodyPr/>
                <a:p>
                  <a:pPr>
                    <a:defRPr b="1">
                      <a:solidFill>
                        <a:srgbClr val="000000"/>
                      </a:solidFill>
                      <a:latin typeface="Tinos"/>
                      <a:ea typeface="Tinos"/>
                      <a:cs typeface="Tinos"/>
                    </a:defRPr>
                  </a:pPr>
                  <a:endParaRPr/>
                </a:p>
              </c:txPr>
            </c:dLbl>
            <c:dLbl>
              <c:idx val="1"/>
              <c:dLblPos val="outEnd"/>
              <c:layout>
                <c:manualLayout>
                  <c:x val="0.042990"/>
                  <c:y val="-0.06151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p>
                    <a:pPr>
                      <a:defRPr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defRPr>
                    </a:pPr>
                    <a:r>
                      <a:rPr b="1">
                        <a:solidFill>
                          <a:srgbClr val="000000"/>
                        </a:solidFill>
                        <a:latin typeface="Tinos"/>
                        <a:ea typeface="Tinos"/>
                        <a:cs typeface="Tinos"/>
                      </a:rPr>
                      <a:t>23,3</a:t>
                    </a:r>
                    <a:endParaRPr b="1">
                      <a:solidFill>
                        <a:srgbClr val="000000"/>
                      </a:solidFill>
                      <a:latin typeface="Tinos"/>
                      <a:cs typeface="Tinos"/>
                    </a:endParaRPr>
                  </a:p>
                </c:rich>
              </c:tx>
              <c:txPr>
                <a:bodyPr/>
                <a:p>
                  <a:pPr>
                    <a:defRPr b="1">
                      <a:solidFill>
                        <a:srgbClr val="000000"/>
                      </a:solidFill>
                      <a:latin typeface="Tinos"/>
                      <a:ea typeface="Tinos"/>
                      <a:cs typeface="Tinos"/>
                    </a:defRPr>
                  </a:pPr>
                  <a:endParaRPr/>
                </a:p>
              </c:txPr>
            </c:dLbl>
            <c:dLblPos val="outEnd"/>
            <c:separator xml:space="preserve">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txPr>
              <a:bodyPr/>
              <a:p>
                <a:pPr>
                  <a:defRPr b="1">
                    <a:solidFill>
                      <a:srgbClr val="000000"/>
                    </a:solidFill>
                    <a:latin typeface="Tinos"/>
                    <a:ea typeface="Tinos"/>
                    <a:cs typeface="Tinos"/>
                  </a:defRPr>
                </a:pPr>
                <a:endParaRPr/>
              </a:p>
            </c:txPr>
          </c:dLbls>
          <c:cat>
            <c:strRef>
              <c:f>categories</c:f>
              <c:strCache>
                <c:ptCount val="6"/>
                <c:pt idx="0">
                  <c:v xml:space="preserve">рынок МОгК</c:v>
                </c:pt>
                <c:pt idx="1">
                  <c:v xml:space="preserve">рынок КК</c:v>
                </c:pt>
                <c:pt idx="2">
                  <c:v xml:space="preserve">рынки нескольких субъектов РФ</c:v>
                </c:pt>
                <c:pt idx="3">
                  <c:v xml:space="preserve">рынок РФ</c:v>
                </c:pt>
                <c:pt idx="4">
                  <c:v xml:space="preserve">рынки стран СНГ </c:v>
                </c:pt>
                <c:pt idx="5">
                  <c:v xml:space="preserve">рынки стран зарубежья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  <c:pt idx="0">
                  <c:v>7916</c:v>
                </c:pt>
                <c:pt idx="1">
                  <c:v>3193</c:v>
                </c:pt>
                <c:pt idx="2">
                  <c:v>814</c:v>
                </c:pt>
                <c:pt idx="3">
                  <c:v>802</c:v>
                </c:pt>
                <c:pt idx="4">
                  <c:v>792</c:v>
                </c:pt>
                <c:pt idx="5">
                  <c:v>790</c:v>
                </c:pt>
              </c:numCache>
            </c:numRef>
          </c:val>
        </c:ser>
        <c:dLbls>
          <c:dLblPos val="outEnd"/>
          <c:separator xml:space="preserve"> </c:separator>
          <c:showBubbleSize val="0"/>
          <c:showCatName val="0"/>
          <c:showLeaderLines val="0"/>
          <c:showLegendKey val="0"/>
          <c:showPercent val="0"/>
          <c:showSerName val="0"/>
          <c:showVal val="1"/>
        </c:dLbls>
      </c:pie3DChart>
    </c:plotArea>
    <c:legend>
      <c:legendPos val="b"/>
      <c:layout>
        <c:manualLayout>
          <c:xMode val="edge"/>
          <c:yMode val="edge"/>
          <c:x val="0.567060"/>
          <c:y val="0.110700"/>
          <c:w val="0.424830"/>
          <c:h val="0.793220"/>
        </c:manualLayout>
      </c:layout>
      <c:overlay val="0"/>
      <c:spPr bwMode="auto">
        <a:prstGeom prst="rect">
          <a:avLst/>
        </a:prstGeom>
        <a:noFill/>
        <a:ln w="0">
          <a:noFill/>
        </a:ln>
      </c:spPr>
      <c:txPr>
        <a:bodyPr/>
        <a:lstStyle/>
        <a:p>
          <a:pPr>
            <a:defRPr sz="1000" b="0" strike="noStrike" spc="0">
              <a:solidFill>
                <a:srgbClr val="000000"/>
              </a:solidFill>
              <a:latin typeface="Times New Roman"/>
              <a:ea typeface="Arial"/>
            </a:defRPr>
          </a:pPr>
          <a:endParaRPr/>
        </a:p>
      </c:txPr>
    </c:legend>
    <c:plotVisOnly val="1"/>
    <c:dispBlanksAs val="zero"/>
    <c:showDLblsOverMax val="0"/>
  </c:chart>
  <c:spPr bwMode="auto">
    <a:xfrm>
      <a:off x="0" y="0"/>
      <a:ext cx="5694156" cy="1843841"/>
    </a:xfrm>
    <a:prstGeom prst="rect">
      <a:avLst/>
    </a:prstGeom>
    <a:solidFill>
      <a:srgbClr val="FFFFFF"/>
    </a:solidFill>
    <a:ln w="9360">
      <a:solidFill>
        <a:srgbClr val="D9D9D9"/>
      </a:solidFill>
      <a:round/>
    </a:ln>
  </c:spPr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30"/>
      <c:rotY val="70"/>
      <c:rAngAx val="0"/>
      <c:perspective val="10"/>
    </c:view3D>
    <c:floor>
      <c:spPr bwMode="auto">
        <a:prstGeom prst="rect">
          <a:avLst/>
        </a:prstGeom>
        <a:solidFill>
          <a:srgbClr val="D9D9D9"/>
        </a:solidFill>
        <a:ln w="0">
          <a:noFill/>
          <a:bevel/>
        </a:ln>
      </c:spPr>
    </c:floor>
    <c:sideWall>
      <c:spPr bwMode="auto">
        <a:prstGeom prst="rect">
          <a:avLst/>
        </a:prstGeom>
        <a:solidFill>
          <a:srgbClr val="D9D9D9"/>
        </a:solidFill>
        <a:ln w="0">
          <a:noFill/>
        </a:ln>
      </c:spPr>
    </c:sideWall>
    <c:backWall>
      <c:spPr bwMode="auto">
        <a:prstGeom prst="rect">
          <a:avLst/>
        </a:prstGeom>
        <a:solidFill>
          <a:srgbClr val="D9D9D9"/>
        </a:solidFill>
        <a:ln w="0">
          <a:noFill/>
        </a:ln>
      </c:spPr>
    </c:backWall>
    <c:plotArea>
      <c:layout>
        <c:manualLayout>
          <c:layoutTarget val="inner"/>
          <c:xMode val="edge"/>
          <c:yMode val="edge"/>
          <c:x val="0.022110"/>
          <c:y val="0.008660"/>
          <c:w val="0.477880"/>
          <c:h val="0.969000"/>
        </c:manualLayout>
      </c:layout>
      <c:pie3DChart>
        <c:varyColors val="1"/>
        <c:ser>
          <c:idx val="0"/>
          <c:order val="0"/>
          <c:tx>
            <c:strRef>
              <c:f xml:space="preserve">label 0</c:f>
              <c:strCache>
                <c:ptCount val="1"/>
                <c:pt idx="0">
                  <c:v xml:space="preserve">основная продукция бизнеса</c:v>
                </c:pt>
              </c:strCache>
            </c:strRef>
          </c:tx>
          <c:spPr bwMode="auto">
            <a:prstGeom prst="rect">
              <a:avLst/>
            </a:prstGeom>
            <a:solidFill>
              <a:srgbClr val="3465A4"/>
            </a:solidFill>
            <a:ln w="0">
              <a:noFill/>
            </a:ln>
          </c:spPr>
          <c:explosion val="0"/>
          <c:dPt>
            <c:idx val="0"/>
            <c:spPr bwMode="auto">
              <a:prstGeom prst="rect">
                <a:avLst/>
              </a:prstGeom>
              <a:solidFill>
                <a:srgbClr val="F491F7"/>
              </a:solidFill>
              <a:ln w="0">
                <a:noFill/>
                <a:round/>
              </a:ln>
            </c:spPr>
          </c:dPt>
          <c:dPt>
            <c:idx val="1"/>
            <c:spPr bwMode="auto">
              <a:prstGeom prst="rect">
                <a:avLst/>
              </a:prstGeom>
              <a:solidFill>
                <a:srgbClr val="FFC000"/>
              </a:solidFill>
              <a:ln w="0">
                <a:noFill/>
              </a:ln>
            </c:spPr>
          </c:dPt>
          <c:dPt>
            <c:idx val="2"/>
            <c:spPr bwMode="auto">
              <a:prstGeom prst="rect">
                <a:avLst/>
              </a:prstGeom>
              <a:solidFill>
                <a:srgbClr val="00FF00"/>
              </a:solidFill>
              <a:ln w="0">
                <a:noFill/>
              </a:ln>
            </c:spPr>
          </c:dPt>
          <c:dPt>
            <c:idx val="3"/>
            <c:spPr bwMode="auto">
              <a:prstGeom prst="rect">
                <a:avLst/>
              </a:prstGeom>
              <a:solidFill>
                <a:schemeClr val="accent5">
                  <a:lumMod val="60000"/>
                  <a:lumOff val="40000"/>
                </a:schemeClr>
              </a:solidFill>
              <a:ln w="0">
                <a:noFill/>
                <a:miter/>
              </a:ln>
            </c:spPr>
          </c:dPt>
          <c:dPt>
            <c:idx val="4"/>
            <c:spPr bwMode="auto">
              <a:prstGeom prst="rect">
                <a:avLst/>
              </a:prstGeom>
              <a:solidFill>
                <a:srgbClr val="FFFF00"/>
              </a:solidFill>
              <a:ln w="0">
                <a:noFill/>
              </a:ln>
            </c:spPr>
          </c:dPt>
          <c:dLbls>
            <c:dLbl>
              <c:idx val="0"/>
              <c:dLblPos val="inEnd"/>
              <c:layout>
                <c:manualLayout>
                  <c:x val="-0.001700"/>
                  <c:y val="0.00000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p>
                    <a:pPr>
                      <a:defRPr b="1">
                        <a:latin typeface="Tinos"/>
                        <a:ea typeface="Tinos"/>
                        <a:cs typeface="Tinos"/>
                      </a:defRPr>
                    </a:pPr>
                    <a:r>
                      <a:rPr/>
                      <a:t>31%</a:t>
                    </a:r>
                    <a:endParaRPr/>
                  </a:p>
                </c:rich>
              </c:tx>
              <c:txPr>
                <a:bodyPr/>
                <a:p>
                  <a:pPr>
                    <a:defRPr b="1">
                      <a:latin typeface="Tinos"/>
                      <a:ea typeface="Tinos"/>
                      <a:cs typeface="Tinos"/>
                    </a:defRPr>
                  </a:pPr>
                  <a:endParaRPr/>
                </a:p>
              </c:txPr>
            </c:dLbl>
            <c:dLbl>
              <c:idx val="4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p>
                    <a:pPr>
                      <a:defRPr b="1">
                        <a:latin typeface="Tinos"/>
                        <a:ea typeface="Tinos"/>
                        <a:cs typeface="Tinos"/>
                      </a:defRPr>
                    </a:pPr>
                    <a:r>
                      <a:rPr/>
                      <a:t>37%</a:t>
                    </a:r>
                    <a:endParaRPr/>
                  </a:p>
                </c:rich>
              </c:tx>
              <c:txPr>
                <a:bodyPr/>
                <a:p>
                  <a:pPr>
                    <a:defRPr b="1">
                      <a:latin typeface="Tinos"/>
                      <a:ea typeface="Tinos"/>
                      <a:cs typeface="Tinos"/>
                    </a:defRPr>
                  </a:pPr>
                  <a:endParaRPr/>
                </a:p>
              </c:txPr>
            </c:dLbl>
            <c:dLbl>
              <c:idx val="3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p>
                    <a:pPr>
                      <a:defRPr b="1">
                        <a:latin typeface="Tinos"/>
                        <a:ea typeface="Tinos"/>
                        <a:cs typeface="Tinos"/>
                      </a:defRPr>
                    </a:pPr>
                    <a:r>
                      <a:rPr/>
                      <a:t>20%</a:t>
                    </a:r>
                    <a:endParaRPr/>
                  </a:p>
                </c:rich>
              </c:tx>
              <c:txPr>
                <a:bodyPr/>
                <a:p>
                  <a:pPr>
                    <a:defRPr b="1">
                      <a:latin typeface="Tinos"/>
                      <a:ea typeface="Tinos"/>
                      <a:cs typeface="Tinos"/>
                    </a:defRPr>
                  </a:pPr>
                  <a:endParaRPr/>
                </a:p>
              </c:txPr>
            </c:dLbl>
            <c:dLbl>
              <c:idx val="2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p>
                    <a:pPr>
                      <a:defRPr b="1">
                        <a:latin typeface="Tinos"/>
                        <a:ea typeface="Tinos"/>
                        <a:cs typeface="Tinos"/>
                      </a:defRPr>
                    </a:pPr>
                    <a:r>
                      <a:rPr/>
                      <a:t>6%</a:t>
                    </a:r>
                    <a:endParaRPr/>
                  </a:p>
                </c:rich>
              </c:tx>
              <c:txPr>
                <a:bodyPr/>
                <a:p>
                  <a:pPr>
                    <a:defRPr b="1">
                      <a:latin typeface="Tinos"/>
                      <a:ea typeface="Tinos"/>
                      <a:cs typeface="Tinos"/>
                    </a:defRPr>
                  </a:pPr>
                  <a:endParaRPr/>
                </a:p>
              </c:txPr>
            </c:dLbl>
            <c:dLbl>
              <c:idx val="1"/>
              <c:dLblPos val="inEnd"/>
              <c:layout/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p>
                    <a:pPr>
                      <a:defRPr b="1">
                        <a:latin typeface="Tinos"/>
                        <a:ea typeface="Tinos"/>
                        <a:cs typeface="Tinos"/>
                      </a:defRPr>
                    </a:pPr>
                    <a:r>
                      <a:rPr/>
                      <a:t>6%</a:t>
                    </a:r>
                    <a:endParaRPr/>
                  </a:p>
                </c:rich>
              </c:tx>
              <c:txPr>
                <a:bodyPr/>
                <a:p>
                  <a:pPr>
                    <a:defRPr b="1">
                      <a:latin typeface="Tinos"/>
                      <a:ea typeface="Tinos"/>
                      <a:cs typeface="Tinos"/>
                    </a:defRPr>
                  </a:pPr>
                  <a:endParaRPr/>
                </a:p>
              </c:txPr>
            </c:dLbl>
            <c:dLblPos val="inEnd"/>
            <c:separator xml:space="preserve">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txPr>
              <a:bodyPr/>
              <a:p>
                <a:pPr>
                  <a:defRPr b="1">
                    <a:latin typeface="Tinos"/>
                    <a:ea typeface="Tinos"/>
                    <a:cs typeface="Tinos"/>
                  </a:defRPr>
                </a:pPr>
                <a:endParaRPr/>
              </a:p>
            </c:txPr>
          </c:dLbls>
          <c:cat>
            <c:strRef>
              <c:f>categories</c:f>
              <c:strCache>
                <c:ptCount val="5"/>
                <c:pt idx="0">
                  <c:v>услуги</c:v>
                </c:pt>
                <c:pt idx="1">
                  <c:v xml:space="preserve">сырье или материалы для дальнейшей переработки</c:v>
                </c:pt>
                <c:pt idx="2">
                  <c:v xml:space="preserve">компоненты для производства конечной продукции</c:v>
                </c:pt>
                <c:pt idx="3">
                  <c:v xml:space="preserve">конечная продукция</c:v>
                </c:pt>
                <c:pt idx="4">
                  <c:v xml:space="preserve">торговля товарами и услугами, произведенными другими компаниями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4853</c:v>
                </c:pt>
                <c:pt idx="1">
                  <c:v>806</c:v>
                </c:pt>
                <c:pt idx="2">
                  <c:v>805</c:v>
                </c:pt>
                <c:pt idx="3">
                  <c:v>3173</c:v>
                </c:pt>
                <c:pt idx="4">
                  <c:v>6249</c:v>
                </c:pt>
              </c:numCache>
            </c:numRef>
          </c:val>
        </c:ser>
        <c:dLbls>
          <c:dLblPos val="inEnd"/>
          <c:separator xml:space="preserve"> </c:separator>
          <c:showBubbleSize val="0"/>
          <c:showCatName val="0"/>
          <c:showLeaderLines val="0"/>
          <c:showLegendKey val="0"/>
          <c:showPercent val="0"/>
          <c:showSerName val="0"/>
          <c:showVal val="1"/>
        </c:dLbls>
      </c:pie3DChart>
    </c:plotArea>
    <c:legend>
      <c:legendPos val="b"/>
      <c:layout>
        <c:manualLayout>
          <c:xMode val="edge"/>
          <c:yMode val="edge"/>
          <c:x val="0.543300"/>
          <c:y val="0.053490"/>
          <c:w val="0.445530"/>
          <c:h val="0.850030"/>
        </c:manualLayout>
      </c:layout>
      <c:overlay val="0"/>
      <c:spPr bwMode="auto">
        <a:prstGeom prst="rect">
          <a:avLst/>
        </a:prstGeom>
        <a:noFill/>
        <a:ln w="0">
          <a:noFill/>
        </a:ln>
      </c:spPr>
      <c:txPr>
        <a:bodyPr/>
        <a:lstStyle/>
        <a:p>
          <a:pPr>
            <a:defRPr sz="1100" b="0" strike="noStrike" spc="0">
              <a:solidFill>
                <a:srgbClr val="000000"/>
              </a:solidFill>
              <a:latin typeface="Times New Roman"/>
              <a:ea typeface="Arial"/>
            </a:defRPr>
          </a:pPr>
          <a:endParaRPr/>
        </a:p>
      </c:txPr>
    </c:legend>
    <c:plotVisOnly val="1"/>
    <c:dispBlanksAs val="zero"/>
    <c:showDLblsOverMax val="0"/>
  </c:chart>
  <c:spPr bwMode="auto">
    <a:xfrm>
      <a:off x="0" y="0"/>
      <a:ext cx="5594347" cy="1855317"/>
    </a:xfrm>
    <a:prstGeom prst="rect">
      <a:avLst/>
    </a:prstGeom>
    <a:solidFill>
      <a:srgbClr val="FFFFFF"/>
    </a:solidFill>
    <a:ln w="9360">
      <a:solidFill>
        <a:srgbClr val="D9D9D9"/>
      </a:solidFill>
      <a:round/>
    </a:ln>
  </c:spPr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  <c:perspective val="30"/>
    </c:view3D>
    <c:floor>
      <c:spPr bwMode="auto">
        <a:prstGeom prst="rect">
          <a:avLst/>
        </a:prstGeom>
        <a:noFill/>
        <a:ln w="9360">
          <a:solidFill>
            <a:srgbClr val="878787"/>
          </a:solidFill>
          <a:round/>
        </a:ln>
      </c:spPr>
    </c:floor>
    <c:sideWall>
      <c:spPr bwMode="auto">
        <a:prstGeom prst="rect">
          <a:avLst/>
        </a:prstGeom>
        <a:noFill/>
        <a:ln w="9360">
          <a:solidFill>
            <a:srgbClr val="878787"/>
          </a:solidFill>
          <a:round/>
        </a:ln>
      </c:spPr>
    </c:sideWall>
    <c:backWall>
      <c:spPr bwMode="auto">
        <a:prstGeom prst="rect">
          <a:avLst/>
        </a:prstGeom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070940"/>
          <c:y val="0.044770"/>
          <c:w val="0.929050"/>
          <c:h val="0.745010"/>
        </c:manualLayout>
      </c:layout>
      <c:bar3DChart>
        <c:barDir val="col"/>
        <c:grouping val="stacked"/>
        <c:varyColors val="0"/>
        <c:ser>
          <c:idx val="0"/>
          <c:order val="0"/>
          <c:spPr bwMode="auto">
            <a:prstGeom prst="rect">
              <a:avLst/>
            </a:prstGeom>
            <a:gradFill>
              <a:gsLst>
                <a:gs pos="0">
                  <a:srgbClr val="7030A0"/>
                </a:gs>
                <a:gs pos="29000">
                  <a:srgbClr val="8F45C7"/>
                </a:gs>
                <a:gs pos="60000">
                  <a:srgbClr val="9680CC"/>
                </a:gs>
                <a:gs pos="100000">
                  <a:srgbClr val="FF9999"/>
                </a:gs>
              </a:gsLst>
              <a:lin ang="16200000" scaled="1"/>
            </a:gradFill>
            <a:ln w="0">
              <a:noFill/>
            </a:ln>
          </c:spPr>
          <c:invertIfNegative val="0"/>
          <c:dLbls>
            <c:separator xml:space="preserve"> </c:separator>
            <c:showBubbleSize val="0"/>
            <c:showCatName val="0"/>
            <c:showLeaderLines val="1"/>
            <c:showLegendKey val="0"/>
            <c:showPercent val="0"/>
            <c:showSerName val="0"/>
            <c:showVal val="0"/>
            <c:txPr>
              <a:bodyPr wrap="none"/>
              <a:lstStyle/>
              <a:p>
                <a:pPr>
                  <a:defRPr sz="1000" b="0" strike="noStrike" spc="0">
                    <a:solidFill>
                      <a:srgbClr val="000000"/>
                    </a:solidFill>
                    <a:latin typeface="Arial"/>
                    <a:ea typeface="Arial"/>
                  </a:defRPr>
                </a:pPr>
                <a:endParaRPr/>
              </a:p>
            </c:txPr>
          </c:dLbls>
          <c:cat>
            <c:strRef>
              <c:f>Sheet1!$B$1:$B$6</c:f>
              <c:strCache>
                <c:ptCount val="6"/>
                <c:pt idx="0">
                  <c:v xml:space="preserve">низкая цена</c:v>
                </c:pt>
                <c:pt idx="1">
                  <c:v xml:space="preserve">высокое качество</c:v>
                </c:pt>
                <c:pt idx="2">
                  <c:v xml:space="preserve">уникальность продукции</c:v>
                </c:pt>
                <c:pt idx="3">
                  <c:v xml:space="preserve">сопутствующие услуги</c:v>
                </c:pt>
                <c:pt idx="4">
                  <c:v xml:space="preserve">доверительные отношения с клиентами</c:v>
                </c:pt>
                <c:pt idx="5">
                  <c:v xml:space="preserve">доверительные отношения с поставщиками</c:v>
                </c:pt>
              </c:strCache>
            </c:strRef>
          </c:cat>
          <c:val>
            <c:numRef>
              <c:f>Sheet1!$A$1:$A$6</c:f>
              <c:numCache>
                <c:formatCode>General</c:formatCode>
                <c:ptCount val="6"/>
                <c:pt idx="0">
                  <c:v>5422</c:v>
                </c:pt>
                <c:pt idx="1">
                  <c:v>5629</c:v>
                </c:pt>
                <c:pt idx="2">
                  <c:v>1095</c:v>
                </c:pt>
                <c:pt idx="3">
                  <c:v>1022</c:v>
                </c:pt>
                <c:pt idx="4">
                  <c:v>969</c:v>
                </c:pt>
                <c:pt idx="5">
                  <c:v>1592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cylinder"/>
        <c:axId val="93882538"/>
        <c:axId val="10412577"/>
      </c:bar3DChart>
      <c:catAx>
        <c:axId val="9388253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 bwMode="auto">
          <a:prstGeom prst="rect">
            <a:avLst/>
          </a:prstGeom>
          <a:ln w="9360">
            <a:solidFill>
              <a:srgbClr val="878787"/>
            </a:solidFill>
            <a:round/>
          </a:ln>
        </c:spPr>
        <c:txPr>
          <a:bodyPr rot="-3000000"/>
          <a:lstStyle/>
          <a:p>
            <a:pPr>
              <a:defRPr sz="700" b="0" strike="noStrike" spc="0">
                <a:solidFill>
                  <a:srgbClr val="000000"/>
                </a:solidFill>
                <a:latin typeface="Times New Roman"/>
                <a:ea typeface="Calibri"/>
              </a:defRPr>
            </a:pPr>
            <a:endParaRPr/>
          </a:p>
        </c:txPr>
        <c:crossAx val="10412577"/>
        <c:crosses val="autoZero"/>
        <c:auto val="1"/>
        <c:lblAlgn val="ctr"/>
        <c:lblOffset val="100"/>
        <c:noMultiLvlLbl val="0"/>
      </c:catAx>
      <c:valAx>
        <c:axId val="10412577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 bwMode="auto">
          <a:prstGeom prst="rect">
            <a:avLst/>
          </a:prstGeom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200" b="0" strike="noStrike" spc="0">
                <a:solidFill>
                  <a:srgbClr val="000000"/>
                </a:solidFill>
                <a:latin typeface="Times New Roman"/>
                <a:ea typeface="Calibri"/>
              </a:defRPr>
            </a:pPr>
            <a:endParaRPr/>
          </a:p>
        </c:txPr>
        <c:crossAx val="93882538"/>
        <c:crosses val="autoZero"/>
        <c:crossBetween val="between"/>
      </c:valAx>
    </c:plotArea>
    <c:plotVisOnly val="1"/>
    <c:dispBlanksAs val="gap"/>
    <c:showDLblsOverMax val="0"/>
  </c:chart>
  <c:spPr bwMode="auto">
    <a:xfrm>
      <a:off x="0" y="0"/>
      <a:ext cx="6057898" cy="1746228"/>
    </a:xfrm>
    <a:prstGeom prst="rect">
      <a:avLst/>
    </a:prstGeom>
    <a:solidFill>
      <a:srgbClr val="FFFFFF"/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11"/>
      <c:rotY val="21"/>
      <c:rAngAx val="1"/>
      <c:perspective val="30"/>
    </c:view3D>
    <c:floor>
      <c:spPr bwMode="auto">
        <a:prstGeom prst="rect">
          <a:avLst/>
        </a:prstGeom>
        <a:noFill/>
        <a:ln w="9360">
          <a:solidFill>
            <a:srgbClr val="878787"/>
          </a:solidFill>
          <a:round/>
        </a:ln>
      </c:spPr>
    </c:floor>
    <c:sideWall>
      <c:spPr bwMode="auto">
        <a:prstGeom prst="rect">
          <a:avLst/>
        </a:prstGeom>
        <a:noFill/>
        <a:ln w="9360">
          <a:solidFill>
            <a:srgbClr val="878787"/>
          </a:solidFill>
          <a:round/>
        </a:ln>
      </c:spPr>
    </c:sideWall>
    <c:backWall>
      <c:spPr bwMode="auto">
        <a:prstGeom prst="rect">
          <a:avLst/>
        </a:prstGeom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070040"/>
          <c:y val="0.042340"/>
          <c:w val="0.929950"/>
          <c:h val="0.742540"/>
        </c:manualLayout>
      </c:layout>
      <c:bar3DChart>
        <c:barDir val="col"/>
        <c:grouping val="clustered"/>
        <c:varyColors val="0"/>
        <c:ser>
          <c:idx val="0"/>
          <c:order val="0"/>
          <c:spPr bwMode="auto">
            <a:prstGeom prst="rect">
              <a:avLst/>
            </a:prstGeom>
            <a:solidFill>
              <a:srgbClr val="FF33CC"/>
            </a:solidFill>
            <a:ln w="0">
              <a:noFill/>
            </a:ln>
          </c:spPr>
          <c:invertIfNegative val="0"/>
          <c:dLbls>
            <c:numFmt formatCode="General" sourceLinked="0"/>
            <c:separator xml:space="preserve">;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txPr>
              <a:bodyPr wrap="square"/>
              <a:lstStyle/>
              <a:p>
                <a:pPr>
                  <a:defRPr sz="1050" b="1" strike="noStrike" spc="0">
                    <a:solidFill>
                      <a:srgbClr val="000000"/>
                    </a:solidFill>
                    <a:latin typeface="Times New Roman"/>
                    <a:ea typeface="Arial"/>
                  </a:defRPr>
                </a:pPr>
                <a:endParaRPr/>
              </a:p>
            </c:txPr>
          </c:dLbls>
          <c:cat>
            <c:strRef>
              <c:f>Sheet1!$B$1:$B$9</c:f>
              <c:strCache>
                <c:ptCount val="9"/>
                <c:pt idx="0">
                  <c:v xml:space="preserve">сокращение затрат</c:v>
                </c:pt>
                <c:pt idx="1">
                  <c:v xml:space="preserve">переподготовка персонала</c:v>
                </c:pt>
                <c:pt idx="2">
                  <c:v xml:space="preserve">маркетинговые стратегии</c:v>
                </c:pt>
                <c:pt idx="3">
                  <c:v xml:space="preserve">приобретение технологий</c:v>
                </c:pt>
                <c:pt idx="4">
                  <c:v xml:space="preserve">расширение ассортимента</c:v>
                </c:pt>
                <c:pt idx="5">
                  <c:v xml:space="preserve">проведение НИОКР</c:v>
                </c:pt>
                <c:pt idx="6">
                  <c:v xml:space="preserve">выход на новые продуктовые рынки</c:v>
                </c:pt>
                <c:pt idx="7">
                  <c:v xml:space="preserve">расширение торговой сети</c:v>
                </c:pt>
                <c:pt idx="8">
                  <c:v xml:space="preserve">выход на новые географические рынки</c:v>
                </c:pt>
              </c:strCache>
            </c:strRef>
          </c:cat>
          <c:val>
            <c:numRef>
              <c:f>Sheet1!$A$1:$A$9</c:f>
              <c:numCache>
                <c:formatCode>General</c:formatCode>
                <c:ptCount val="9"/>
                <c:pt idx="0">
                  <c:v>1755</c:v>
                </c:pt>
                <c:pt idx="1">
                  <c:v>1815</c:v>
                </c:pt>
                <c:pt idx="2">
                  <c:v>1772</c:v>
                </c:pt>
                <c:pt idx="3">
                  <c:v>1775</c:v>
                </c:pt>
                <c:pt idx="4">
                  <c:v>1661</c:v>
                </c:pt>
                <c:pt idx="5">
                  <c:v>1664</c:v>
                </c:pt>
                <c:pt idx="6">
                  <c:v>1620</c:v>
                </c:pt>
                <c:pt idx="7">
                  <c:v>1595</c:v>
                </c:pt>
                <c:pt idx="8">
                  <c:v>1596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cylinder"/>
        <c:axId val="2140841565"/>
        <c:axId val="2140841566"/>
      </c:bar3DChart>
      <c:catAx>
        <c:axId val="2140841565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 bwMode="auto">
          <a:prstGeom prst="rect">
            <a:avLst/>
          </a:prstGeom>
          <a:ln w="9360">
            <a:solidFill>
              <a:srgbClr val="878787"/>
            </a:solidFill>
            <a:round/>
          </a:ln>
        </c:spPr>
        <c:txPr>
          <a:bodyPr rot="-5400000"/>
          <a:lstStyle/>
          <a:p>
            <a:pPr>
              <a:defRPr sz="700" b="0" strike="noStrike" spc="0">
                <a:solidFill>
                  <a:srgbClr val="000000"/>
                </a:solidFill>
                <a:latin typeface="Times New Roman"/>
                <a:ea typeface="Arial"/>
              </a:defRPr>
            </a:pPr>
            <a:endParaRPr/>
          </a:p>
        </c:txPr>
        <c:crossAx val="2140841566"/>
        <c:crosses val="autoZero"/>
        <c:auto val="1"/>
        <c:lblAlgn val="ctr"/>
        <c:lblOffset val="100"/>
        <c:noMultiLvlLbl val="0"/>
      </c:catAx>
      <c:valAx>
        <c:axId val="214084156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 bwMode="auto">
          <a:prstGeom prst="rect">
            <a:avLst/>
          </a:prstGeom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200" b="0" strike="noStrike" spc="0">
                <a:solidFill>
                  <a:srgbClr val="000000"/>
                </a:solidFill>
                <a:latin typeface="Times New Roman"/>
                <a:ea typeface="Arial"/>
              </a:defRPr>
            </a:pPr>
            <a:endParaRPr/>
          </a:p>
        </c:txPr>
        <c:crossAx val="2140841565"/>
        <c:crosses val="autoZero"/>
        <c:crossBetween val="between"/>
      </c:valAx>
    </c:plotArea>
    <c:plotVisOnly val="1"/>
    <c:dispBlanksAs val="gap"/>
    <c:showDLblsOverMax val="0"/>
  </c:chart>
  <c:spPr bwMode="auto">
    <a:xfrm>
      <a:off x="0" y="0"/>
      <a:ext cx="6143625" cy="1948271"/>
    </a:xfrm>
    <a:prstGeom prst="rect">
      <a:avLst/>
    </a:prstGeom>
    <a:solidFill>
      <a:srgbClr val="FFFFFF"/>
    </a:solidFill>
    <a:ln w="9360">
      <a:solidFill>
        <a:srgbClr val="A6A6A6"/>
      </a:solidFill>
      <a:round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8290"/>
          <c:y val="0.038680"/>
          <c:w val="0.826040"/>
          <c:h val="0.424460"/>
        </c:manualLayout>
      </c:layout>
      <c:barChart>
        <c:barDir val="col"/>
        <c:grouping val="percentStacked"/>
        <c:varyColors val="0"/>
        <c:ser>
          <c:idx val="0"/>
          <c:order val="0"/>
          <c:tx>
            <c:v>достаточно</c:v>
          </c:tx>
          <c:spPr bwMode="auto">
            <a:prstGeom prst="rect">
              <a:avLst/>
            </a:prstGeom>
            <a:solidFill>
              <a:srgbClr val="0070C0"/>
            </a:solidFill>
            <a:ln w="12699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Лист1!$C$1:$C$12</c:f>
              <c:strCache>
                <c:ptCount val="12"/>
                <c:pt idx="0">
                  <c:v xml:space="preserve">сфера образования</c:v>
                </c:pt>
                <c:pt idx="1">
                  <c:v xml:space="preserve">социальная сфера</c:v>
                </c:pt>
                <c:pt idx="2">
                  <c:v>здравоохранение</c:v>
                </c:pt>
                <c:pt idx="3">
                  <c:v>ЖКХ</c:v>
                </c:pt>
                <c:pt idx="4">
                  <c:v xml:space="preserve">транспортный комплекс</c:v>
                </c:pt>
                <c:pt idx="5">
                  <c:v xml:space="preserve">информационные технологии</c:v>
                </c:pt>
                <c:pt idx="6">
                  <c:v>строительство</c:v>
                </c:pt>
                <c:pt idx="7">
                  <c:v>АПК</c:v>
                </c:pt>
                <c:pt idx="8">
                  <c:v>промышленность</c:v>
                </c:pt>
                <c:pt idx="9">
                  <c:v xml:space="preserve">торговля и услуги населению</c:v>
                </c:pt>
                <c:pt idx="10">
                  <c:v xml:space="preserve">санаторно-курортный комплекс</c:v>
                </c:pt>
                <c:pt idx="11">
                  <c:v>спорт</c:v>
                </c:pt>
              </c:strCache>
            </c:strRef>
          </c:cat>
          <c:val>
            <c:numRef>
              <c:f>Лист1!$A$1:$A$12</c:f>
              <c:numCache>
                <c:formatCode>General</c:formatCode>
                <c:ptCount val="12"/>
                <c:pt idx="0">
                  <c:v>25168</c:v>
                </c:pt>
                <c:pt idx="1">
                  <c:v>25284</c:v>
                </c:pt>
                <c:pt idx="2">
                  <c:v>20550</c:v>
                </c:pt>
                <c:pt idx="3">
                  <c:v>25100</c:v>
                </c:pt>
                <c:pt idx="4">
                  <c:v>25374</c:v>
                </c:pt>
                <c:pt idx="5">
                  <c:v>25520</c:v>
                </c:pt>
                <c:pt idx="6">
                  <c:v>25273</c:v>
                </c:pt>
                <c:pt idx="7">
                  <c:v>27009</c:v>
                </c:pt>
                <c:pt idx="8">
                  <c:v>28064</c:v>
                </c:pt>
                <c:pt idx="9">
                  <c:v>28624</c:v>
                </c:pt>
                <c:pt idx="10">
                  <c:v>22117</c:v>
                </c:pt>
                <c:pt idx="11">
                  <c:v>25566</c:v>
                </c:pt>
              </c:numCache>
            </c:numRef>
          </c:val>
        </c:ser>
        <c:ser>
          <c:idx val="1"/>
          <c:order val="1"/>
          <c:tx>
            <c:v>мало</c:v>
          </c:tx>
          <c:spPr bwMode="auto">
            <a:prstGeom prst="rect">
              <a:avLst/>
            </a:prstGeom>
            <a:solidFill>
              <a:srgbClr val="FFC000"/>
            </a:solidFill>
            <a:ln w="12699">
              <a:solidFill>
                <a:schemeClr val="tx1"/>
              </a:solidFill>
              <a:prstDash val="solid"/>
            </a:ln>
          </c:spPr>
          <c:invertIfNegative val="0"/>
          <c:dPt>
            <c:idx val="0"/>
            <c:spPr bwMode="auto">
              <a:prstGeom prst="rect">
                <a:avLst/>
              </a:prstGeom>
              <a:solidFill>
                <a:srgbClr val="FFC000"/>
              </a:solidFill>
              <a:ln w="12699">
                <a:solidFill>
                  <a:schemeClr val="tx1"/>
                </a:solidFill>
                <a:prstDash val="solid"/>
              </a:ln>
            </c:spPr>
          </c:dPt>
          <c:cat>
            <c:strRef>
              <c:f>Лист1!$C$1:$C$12</c:f>
              <c:strCache>
                <c:ptCount val="12"/>
                <c:pt idx="0">
                  <c:v xml:space="preserve">сфера образования</c:v>
                </c:pt>
                <c:pt idx="1">
                  <c:v xml:space="preserve">социальная сфера</c:v>
                </c:pt>
                <c:pt idx="2">
                  <c:v>здравоохранение</c:v>
                </c:pt>
                <c:pt idx="3">
                  <c:v>ЖКХ</c:v>
                </c:pt>
                <c:pt idx="4">
                  <c:v xml:space="preserve">транспортный комплекс</c:v>
                </c:pt>
                <c:pt idx="5">
                  <c:v xml:space="preserve">информационные технологии</c:v>
                </c:pt>
                <c:pt idx="6">
                  <c:v>строительство</c:v>
                </c:pt>
                <c:pt idx="7">
                  <c:v>АПК</c:v>
                </c:pt>
                <c:pt idx="8">
                  <c:v>промышленность</c:v>
                </c:pt>
                <c:pt idx="9">
                  <c:v xml:space="preserve">торговля и услуги населению</c:v>
                </c:pt>
                <c:pt idx="10">
                  <c:v xml:space="preserve">санаторно-курортный комплекс</c:v>
                </c:pt>
                <c:pt idx="11">
                  <c:v>спорт</c:v>
                </c:pt>
              </c:strCache>
            </c:strRef>
          </c:cat>
          <c:val>
            <c:numRef>
              <c:f>Лист1!$B$1:$B$12</c:f>
              <c:numCache>
                <c:formatCode>General</c:formatCode>
                <c:ptCount val="12"/>
                <c:pt idx="0">
                  <c:v>2861</c:v>
                </c:pt>
                <c:pt idx="1">
                  <c:v>2697</c:v>
                </c:pt>
                <c:pt idx="2">
                  <c:v>7631</c:v>
                </c:pt>
                <c:pt idx="3">
                  <c:v>3086</c:v>
                </c:pt>
                <c:pt idx="4">
                  <c:v>4320</c:v>
                </c:pt>
                <c:pt idx="5">
                  <c:v>3851</c:v>
                </c:pt>
                <c:pt idx="6">
                  <c:v>4169</c:v>
                </c:pt>
                <c:pt idx="7">
                  <c:v>2364</c:v>
                </c:pt>
                <c:pt idx="8">
                  <c:v>2230</c:v>
                </c:pt>
                <c:pt idx="9">
                  <c:v>2521</c:v>
                </c:pt>
                <c:pt idx="10">
                  <c:v>4242</c:v>
                </c:pt>
                <c:pt idx="11">
                  <c:v>3939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overlap val="100"/>
        <c:axId val="2140841485"/>
        <c:axId val="2140841486"/>
      </c:barChart>
      <c:catAx>
        <c:axId val="214084148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800" b="0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486"/>
        <c:crosses val="autoZero"/>
        <c:auto val="1"/>
        <c:lblAlgn val="ctr"/>
        <c:lblOffset val="100"/>
        <c:tickMarkSkip val="1"/>
        <c:noMultiLvlLbl val="0"/>
      </c:catAx>
      <c:valAx>
        <c:axId val="214084148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0%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1000" b="1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485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plotVisOnly val="1"/>
    <c:dispBlanksAs val="gap"/>
    <c:showDLblsOverMax val="0"/>
  </c:chart>
  <c:spPr bwMode="auto">
    <a:xfrm>
      <a:off x="0" y="0"/>
      <a:ext cx="6115366" cy="1933913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15"/>
      <c:rotY val="19"/>
      <c:rAngAx val="1"/>
      <c:perspective val="30"/>
    </c:view3D>
    <c:floor>
      <c:spPr bwMode="auto">
        <a:prstGeom prst="rect">
          <a:avLst/>
        </a:prstGeom>
        <a:noFill/>
        <a:ln w="9360">
          <a:solidFill>
            <a:srgbClr val="878787"/>
          </a:solidFill>
          <a:round/>
        </a:ln>
      </c:spPr>
    </c:floor>
    <c:sideWall>
      <c:spPr bwMode="auto">
        <a:prstGeom prst="rect">
          <a:avLst/>
        </a:prstGeom>
        <a:noFill/>
        <a:ln w="9360">
          <a:solidFill>
            <a:srgbClr val="878787"/>
          </a:solidFill>
          <a:round/>
        </a:ln>
      </c:spPr>
    </c:sideWall>
    <c:backWall>
      <c:spPr bwMode="auto">
        <a:prstGeom prst="rect">
          <a:avLst/>
        </a:prstGeom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061060"/>
          <c:y val="0.000000"/>
          <c:w val="0.937000"/>
          <c:h val="0.811470"/>
        </c:manualLayout>
      </c:layout>
      <c:bar3DChart>
        <c:barDir val="col"/>
        <c:grouping val="clustered"/>
        <c:varyColors val="0"/>
        <c:ser>
          <c:idx val="0"/>
          <c:order val="0"/>
          <c:spPr bwMode="auto">
            <a:prstGeom prst="rect">
              <a:avLst/>
            </a:prstGeom>
            <a:solidFill>
              <a:srgbClr val="00FF00"/>
            </a:solidFill>
            <a:ln w="0">
              <a:noFill/>
              <a:round/>
            </a:ln>
          </c:spPr>
          <c:invertIfNegative val="0"/>
          <c:dLbls>
            <c:dLbl>
              <c:idx val="0"/>
              <c:dLblPos val="outEnd"/>
              <c:layout/>
              <c:numFmt formatCode="General" sourceLinked="0"/>
              <c:separator xml:space="preserve">; </c:separator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 wrap="square"/>
                  <a:p>
                    <a:pPr>
                      <a:defRPr sz="1100" b="1" strike="noStrike" spc="0">
                        <a:solidFill>
                          <a:srgbClr val="000000"/>
                        </a:solidFill>
                        <a:latin typeface="Times New Roman"/>
                        <a:ea typeface="Arial"/>
                      </a:defRPr>
                    </a:pPr>
                    <a:r>
                      <a:rPr/>
                      <a:t>3227</a:t>
                    </a:r>
                    <a:endParaRPr/>
                  </a:p>
                </c:rich>
              </c:tx>
              <c:txPr>
                <a:bodyPr wrap="square"/>
                <a:lstStyle/>
                <a:p>
                  <a:pPr>
                    <a:defRPr sz="1100" b="1" strike="noStrike" spc="0">
                      <a:solidFill>
                        <a:srgbClr val="000000"/>
                      </a:solidFill>
                      <a:latin typeface="Times New Roman"/>
                      <a:ea typeface="Arial"/>
                    </a:defRPr>
                  </a:pPr>
                  <a:endParaRPr/>
                </a:p>
              </c:txPr>
            </c:dLbl>
            <c:dLbl>
              <c:idx val="1"/>
              <c:dLblPos val="outEnd"/>
              <c:layout/>
              <c:numFmt formatCode="General" sourceLinked="0"/>
              <c:separator xml:space="preserve">; </c:separator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 wrap="square"/>
                  <a:p>
                    <a:pPr>
                      <a:defRPr sz="1100" b="1" strike="noStrike" spc="0">
                        <a:solidFill>
                          <a:srgbClr val="000000"/>
                        </a:solidFill>
                        <a:latin typeface="Times New Roman"/>
                        <a:ea typeface="Arial"/>
                      </a:defRPr>
                    </a:pPr>
                    <a:r>
                      <a:rPr/>
                      <a:t>3380</a:t>
                    </a:r>
                    <a:endParaRPr/>
                  </a:p>
                </c:rich>
              </c:tx>
              <c:txPr>
                <a:bodyPr wrap="square"/>
                <a:lstStyle/>
                <a:p>
                  <a:pPr>
                    <a:defRPr sz="1100" b="1" strike="noStrike" spc="0">
                      <a:solidFill>
                        <a:srgbClr val="000000"/>
                      </a:solidFill>
                      <a:latin typeface="Times New Roman"/>
                      <a:ea typeface="Arial"/>
                    </a:defRPr>
                  </a:pPr>
                  <a:endParaRPr/>
                </a:p>
              </c:txPr>
            </c:dLbl>
            <c:numFmt formatCode="General" sourceLinked="0"/>
            <c:separator xml:space="preserve">;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txPr>
              <a:bodyPr wrap="square"/>
              <a:lstStyle/>
              <a:p>
                <a:pPr>
                  <a:defRPr sz="1100" b="1" strike="noStrike" spc="0">
                    <a:solidFill>
                      <a:srgbClr val="000000"/>
                    </a:solidFill>
                    <a:latin typeface="Times New Roman"/>
                    <a:ea typeface="Arial"/>
                  </a:defRPr>
                </a:pPr>
                <a:endParaRPr/>
              </a:p>
            </c:txPr>
          </c:dLbls>
          <c:cat>
            <c:strRef>
              <c:f>Sheet1!$B$1:$B$5</c:f>
              <c:strCache>
                <c:ptCount val="5"/>
                <c:pt idx="0">
                  <c:v xml:space="preserve">нет конкуренции</c:v>
                </c:pt>
                <c:pt idx="1">
                  <c:v xml:space="preserve">слабая конкуренция</c:v>
                </c:pt>
                <c:pt idx="2">
                  <c:v xml:space="preserve">умеренная конкуренция</c:v>
                </c:pt>
                <c:pt idx="3">
                  <c:v xml:space="preserve">высокая конкуренция</c:v>
                </c:pt>
                <c:pt idx="4">
                  <c:v xml:space="preserve">очень высокая конкуренция</c:v>
                </c:pt>
              </c:strCache>
            </c:strRef>
          </c:cat>
          <c:val>
            <c:numRef>
              <c:f>Sheet1!$A$1:$A$5</c:f>
              <c:numCache>
                <c:formatCode>General</c:formatCode>
                <c:ptCount val="5"/>
                <c:pt idx="0">
                  <c:v>3227</c:v>
                </c:pt>
                <c:pt idx="1">
                  <c:v>3380</c:v>
                </c:pt>
                <c:pt idx="2">
                  <c:v>3545</c:v>
                </c:pt>
                <c:pt idx="3">
                  <c:v>3290</c:v>
                </c:pt>
                <c:pt idx="4">
                  <c:v>3229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cylinder"/>
        <c:axId val="46850062"/>
        <c:axId val="22935085"/>
      </c:bar3DChart>
      <c:catAx>
        <c:axId val="4685006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 bwMode="auto">
          <a:prstGeom prst="rect">
            <a:avLst/>
          </a:prstGeom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700" b="0" strike="noStrike" spc="0">
                <a:solidFill>
                  <a:srgbClr val="000000"/>
                </a:solidFill>
                <a:latin typeface="Times New Roman"/>
                <a:ea typeface="Arial"/>
              </a:defRPr>
            </a:pPr>
            <a:endParaRPr/>
          </a:p>
        </c:txPr>
        <c:crossAx val="22935085"/>
        <c:crosses val="autoZero"/>
        <c:auto val="1"/>
        <c:lblAlgn val="ctr"/>
        <c:lblOffset val="100"/>
        <c:noMultiLvlLbl val="0"/>
      </c:catAx>
      <c:valAx>
        <c:axId val="22935085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 bwMode="auto">
          <a:prstGeom prst="rect">
            <a:avLst/>
          </a:prstGeom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0">
                <a:solidFill>
                  <a:srgbClr val="000000"/>
                </a:solidFill>
                <a:latin typeface="Times New Roman"/>
                <a:ea typeface="Arial"/>
              </a:defRPr>
            </a:pPr>
            <a:endParaRPr/>
          </a:p>
        </c:txPr>
        <c:crossAx val="46850062"/>
        <c:crosses val="autoZero"/>
        <c:crossBetween val="between"/>
      </c:valAx>
    </c:plotArea>
    <c:plotVisOnly val="1"/>
    <c:dispBlanksAs val="gap"/>
    <c:showDLblsOverMax val="0"/>
  </c:chart>
  <c:spPr bwMode="auto">
    <a:xfrm>
      <a:off x="0" y="0"/>
      <a:ext cx="6071233" cy="1501513"/>
    </a:xfrm>
    <a:prstGeom prst="rect">
      <a:avLst/>
    </a:prstGeom>
    <a:solidFill>
      <a:srgbClr val="FFFFFF"/>
    </a:solidFill>
    <a:ln w="9360">
      <a:solidFill>
        <a:srgbClr val="A6A6A6"/>
      </a:solidFill>
      <a:round/>
    </a:ln>
  </c:spPr>
  <c:externalData r:id="rId2">
    <c:autoUpdate val="0"/>
  </c:externalData>
  <c:userShapes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1"/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061000"/>
          <c:y val="0.027210"/>
          <c:w val="0.938980"/>
          <c:h val="0.399720"/>
        </c:manualLayout>
      </c:layout>
      <c:bar3DChart>
        <c:barDir val="col"/>
        <c:grouping val="clustered"/>
        <c:varyColors val="0"/>
        <c:ser>
          <c:idx val="0"/>
          <c:order val="0"/>
          <c:spPr bwMode="auto">
            <a:prstGeom prst="rect">
              <a:avLst/>
            </a:prstGeom>
            <a:solidFill>
              <a:srgbClr val="F013A3"/>
            </a:solidFill>
            <a:ln>
              <a:noFill/>
            </a:ln>
          </c:spPr>
          <c:invertIfNegative val="0"/>
          <c:cat>
            <c:strRef>
              <c:f>Sheet1!$B$1:$B$9</c:f>
              <c:strCache>
                <c:ptCount val="9"/>
                <c:pt idx="0">
                  <c:v xml:space="preserve">высокие налоги</c:v>
                </c:pt>
                <c:pt idx="1">
                  <c:v xml:space="preserve">нестабиотность российского законодательства</c:v>
                </c:pt>
                <c:pt idx="2">
                  <c:v xml:space="preserve">получение разрешения на строительство</c:v>
                </c:pt>
                <c:pt idx="3">
                  <c:v xml:space="preserve">сложность получения лицензий</c:v>
                </c:pt>
                <c:pt idx="4">
                  <c:v xml:space="preserve">сложность получения доступа к земельным участкам</c:v>
                </c:pt>
                <c:pt idx="5">
                  <c:v xml:space="preserve">высокие барьеры доступа к финансовым ресурсам</c:v>
                </c:pt>
                <c:pt idx="6">
                  <c:v xml:space="preserve">недостаток квалифицированных кадров</c:v>
                </c:pt>
                <c:pt idx="7">
                  <c:v xml:space="preserve">высокие транспортные и логистические издержки</c:v>
                </c:pt>
                <c:pt idx="8">
                  <c:v xml:space="preserve">коррупция со стороны органов власти</c:v>
                </c:pt>
              </c:strCache>
            </c:strRef>
          </c:cat>
          <c:val>
            <c:numRef>
              <c:f>Sheet1!$A$1:$A$9</c:f>
              <c:numCache>
                <c:formatCode>General</c:formatCode>
                <c:ptCount val="9"/>
                <c:pt idx="0">
                  <c:v>1201</c:v>
                </c:pt>
                <c:pt idx="1">
                  <c:v>954</c:v>
                </c:pt>
                <c:pt idx="2">
                  <c:v>711</c:v>
                </c:pt>
                <c:pt idx="3">
                  <c:v>849</c:v>
                </c:pt>
                <c:pt idx="4">
                  <c:v>785</c:v>
                </c:pt>
                <c:pt idx="5">
                  <c:v>827</c:v>
                </c:pt>
                <c:pt idx="6">
                  <c:v>871</c:v>
                </c:pt>
                <c:pt idx="7">
                  <c:v>713</c:v>
                </c:pt>
                <c:pt idx="8">
                  <c:v>845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pyramid"/>
        <c:axId val="2140841631"/>
        <c:axId val="2140841632"/>
      </c:bar3DChart>
      <c:catAx>
        <c:axId val="21408416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lstStyle/>
          <a:p>
            <a:pPr>
              <a:defRPr sz="700" b="0" cap="none" spc="0">
                <a:solidFill>
                  <a:schemeClr val="tx1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632"/>
        <c:crosses val="autoZero"/>
        <c:auto val="1"/>
        <c:lblAlgn val="ctr"/>
        <c:lblOffset val="100"/>
        <c:tickMarkSkip val="1"/>
        <c:noMultiLvlLbl val="0"/>
      </c:catAx>
      <c:valAx>
        <c:axId val="214084163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min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</c:spPr>
        </c:min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lstStyle/>
          <a:p>
            <a:pPr>
              <a:defRPr sz="1000">
                <a:solidFill>
                  <a:schemeClr val="tx1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631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plotVisOnly val="1"/>
    <c:dispBlanksAs val="gap"/>
    <c:showDLblsOverMax val="0"/>
  </c:chart>
  <c:spPr bwMode="auto">
    <a:xfrm>
      <a:off x="0" y="0"/>
      <a:ext cx="6000631" cy="2749206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900">
          <a:solidFill>
            <a:schemeClr val="dk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  <c:perspective val="30"/>
    </c:view3D>
    <c:floor>
      <c:spPr bwMode="auto">
        <a:prstGeom prst="rect">
          <a:avLst/>
        </a:prstGeom>
        <a:noFill/>
        <a:ln w="9360">
          <a:solidFill>
            <a:srgbClr val="878787"/>
          </a:solidFill>
          <a:round/>
        </a:ln>
      </c:spPr>
    </c:floor>
    <c:sideWall>
      <c:spPr bwMode="auto">
        <a:prstGeom prst="rect">
          <a:avLst/>
        </a:prstGeom>
        <a:noFill/>
        <a:ln w="9360">
          <a:solidFill>
            <a:srgbClr val="878787"/>
          </a:solidFill>
          <a:round/>
        </a:ln>
      </c:spPr>
    </c:sideWall>
    <c:backWall>
      <c:spPr bwMode="auto">
        <a:prstGeom prst="rect">
          <a:avLst/>
        </a:prstGeom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104310"/>
          <c:y val="0.027730"/>
          <c:w val="0.894560"/>
          <c:h val="0.793900"/>
        </c:manualLayout>
      </c:layout>
      <c:bar3DChart>
        <c:barDir val="col"/>
        <c:grouping val="clustered"/>
        <c:varyColors val="0"/>
        <c:ser>
          <c:idx val="0"/>
          <c:order val="0"/>
          <c:spPr bwMode="auto">
            <a:prstGeom prst="rect">
              <a:avLst/>
            </a:prstGeom>
            <a:gradFill>
              <a:gsLst>
                <a:gs pos="0">
                  <a:srgbClr val="7030A0"/>
                </a:gs>
                <a:gs pos="29000">
                  <a:srgbClr val="8F45C7"/>
                </a:gs>
                <a:gs pos="60000">
                  <a:srgbClr val="9680CC"/>
                </a:gs>
                <a:gs pos="100000">
                  <a:srgbClr val="FF9999"/>
                </a:gs>
              </a:gsLst>
              <a:lin ang="16200000" scaled="1"/>
            </a:gradFill>
            <a:ln w="0">
              <a:noFill/>
            </a:ln>
          </c:spPr>
          <c:invertIfNegative val="0"/>
          <c:dPt>
            <c:idx val="0"/>
            <c:invertIfNegative val="0"/>
            <c:spPr bwMode="auto">
              <a:prstGeom prst="rect">
                <a:avLst/>
              </a:prstGeom>
              <a:gradFill>
                <a:gsLst>
                  <a:gs pos="0">
                    <a:srgbClr val="7030A0"/>
                  </a:gs>
                  <a:gs pos="29000">
                    <a:srgbClr val="8F45C7"/>
                  </a:gs>
                  <a:gs pos="60000">
                    <a:srgbClr val="9680CC"/>
                  </a:gs>
                  <a:gs pos="100000">
                    <a:srgbClr val="FF9999"/>
                  </a:gs>
                </a:gsLst>
                <a:lin ang="16200000" scaled="1"/>
              </a:gradFill>
              <a:ln w="0">
                <a:noFill/>
                <a:round/>
              </a:ln>
            </c:spPr>
          </c:dPt>
          <c:dPt>
            <c:idx val="1"/>
            <c:invertIfNegative val="0"/>
            <c:spPr bwMode="auto">
              <a:prstGeom prst="rect">
                <a:avLst/>
              </a:prstGeom>
              <a:gradFill>
                <a:gsLst>
                  <a:gs pos="0">
                    <a:srgbClr val="7030A0"/>
                  </a:gs>
                  <a:gs pos="29000">
                    <a:srgbClr val="8F45C7"/>
                  </a:gs>
                  <a:gs pos="60000">
                    <a:srgbClr val="9680CC"/>
                  </a:gs>
                  <a:gs pos="100000">
                    <a:srgbClr val="FF9999"/>
                  </a:gs>
                </a:gsLst>
                <a:lin ang="16200000" scaled="1"/>
              </a:gradFill>
              <a:ln w="0">
                <a:noFill/>
              </a:ln>
            </c:spPr>
          </c:dPt>
          <c:dPt>
            <c:idx val="2"/>
            <c:invertIfNegative val="0"/>
            <c:spPr bwMode="auto">
              <a:prstGeom prst="rect">
                <a:avLst/>
              </a:prstGeom>
              <a:gradFill>
                <a:gsLst>
                  <a:gs pos="0">
                    <a:srgbClr val="7030A0"/>
                  </a:gs>
                  <a:gs pos="29000">
                    <a:srgbClr val="8F45C7"/>
                  </a:gs>
                  <a:gs pos="60000">
                    <a:srgbClr val="9680CC"/>
                  </a:gs>
                  <a:gs pos="100000">
                    <a:srgbClr val="FF9999"/>
                  </a:gs>
                </a:gsLst>
                <a:lin ang="16200000" scaled="1"/>
              </a:gradFill>
              <a:ln w="0">
                <a:noFill/>
              </a:ln>
            </c:spPr>
          </c:dPt>
          <c:dPt>
            <c:idx val="3"/>
            <c:invertIfNegative val="0"/>
            <c:spPr bwMode="auto">
              <a:prstGeom prst="rect">
                <a:avLst/>
              </a:prstGeom>
              <a:gradFill>
                <a:gsLst>
                  <a:gs pos="0">
                    <a:srgbClr val="7030A0"/>
                  </a:gs>
                  <a:gs pos="29000">
                    <a:srgbClr val="8F45C7"/>
                  </a:gs>
                  <a:gs pos="60000">
                    <a:srgbClr val="9680CC"/>
                  </a:gs>
                  <a:gs pos="100000">
                    <a:srgbClr val="FF9999"/>
                  </a:gs>
                </a:gsLst>
                <a:lin ang="16200000" scaled="1"/>
              </a:gradFill>
              <a:ln w="0">
                <a:noFill/>
              </a:ln>
            </c:spPr>
          </c:dPt>
          <c:dPt>
            <c:idx val="4"/>
            <c:invertIfNegative val="0"/>
            <c:spPr bwMode="auto">
              <a:prstGeom prst="rect">
                <a:avLst/>
              </a:prstGeom>
              <a:gradFill>
                <a:gsLst>
                  <a:gs pos="0">
                    <a:srgbClr val="7030A0"/>
                  </a:gs>
                  <a:gs pos="29000">
                    <a:srgbClr val="8F45C7"/>
                  </a:gs>
                  <a:gs pos="60000">
                    <a:srgbClr val="9680CC"/>
                  </a:gs>
                  <a:gs pos="100000">
                    <a:srgbClr val="FF9999"/>
                  </a:gs>
                </a:gsLst>
                <a:lin ang="16200000" scaled="1"/>
              </a:gradFill>
              <a:ln w="0">
                <a:noFill/>
              </a:ln>
            </c:spPr>
          </c:dPt>
          <c:dPt>
            <c:idx val="5"/>
            <c:invertIfNegative val="0"/>
            <c:spPr bwMode="auto">
              <a:prstGeom prst="rect">
                <a:avLst/>
              </a:prstGeom>
              <a:gradFill>
                <a:gsLst>
                  <a:gs pos="0">
                    <a:srgbClr val="7030A0"/>
                  </a:gs>
                  <a:gs pos="29000">
                    <a:srgbClr val="8F45C7"/>
                  </a:gs>
                  <a:gs pos="60000">
                    <a:srgbClr val="9680CC"/>
                  </a:gs>
                  <a:gs pos="100000">
                    <a:srgbClr val="FF9999"/>
                  </a:gs>
                </a:gsLst>
                <a:lin ang="16200000" scaled="1"/>
              </a:gradFill>
              <a:ln w="0">
                <a:noFill/>
              </a:ln>
            </c:spPr>
          </c:dPt>
          <c:dLbls>
            <c:dLbl>
              <c:idx val="0"/>
              <c:layout>
                <c:manualLayout>
                  <c:x val="0.005920"/>
                  <c:y val="-0.025560"/>
                </c:manualLayout>
              </c:layout>
              <c:numFmt formatCode="General" sourceLinked="0"/>
              <c:separator xml:space="preserve">; </c:separator>
              <c:showBubbleSize val="0"/>
              <c:showCatName val="0"/>
              <c:showLegendKey val="0"/>
              <c:showPercent val="0"/>
              <c:showSerName val="0"/>
              <c:showVal val="1"/>
              <c:txPr>
                <a:bodyPr wrap="square"/>
                <a:lstStyle/>
                <a:p>
                  <a:pPr>
                    <a:defRPr sz="1100" b="1" strike="noStrike" spc="0">
                      <a:solidFill>
                        <a:srgbClr val="000000"/>
                      </a:solidFill>
                      <a:latin typeface="Times New Roman"/>
                      <a:ea typeface="DejaVu Sans"/>
                    </a:defRPr>
                  </a:pPr>
                  <a:endParaRPr/>
                </a:p>
              </c:txPr>
            </c:dLbl>
            <c:dLbl>
              <c:idx val="1"/>
              <c:layout>
                <c:manualLayout>
                  <c:x val="0.005920"/>
                  <c:y val="-0.025560"/>
                </c:manualLayout>
              </c:layout>
              <c:numFmt formatCode="General" sourceLinked="0"/>
              <c:separator xml:space="preserve">; </c:separator>
              <c:showBubbleSize val="0"/>
              <c:showCatName val="0"/>
              <c:showLegendKey val="0"/>
              <c:showPercent val="0"/>
              <c:showSerName val="0"/>
              <c:showVal val="1"/>
              <c:txPr>
                <a:bodyPr wrap="square"/>
                <a:lstStyle/>
                <a:p>
                  <a:pPr>
                    <a:defRPr sz="1100" b="1" strike="noStrike" spc="0">
                      <a:solidFill>
                        <a:srgbClr val="000000"/>
                      </a:solidFill>
                      <a:latin typeface="Times New Roman"/>
                      <a:ea typeface="DejaVu Sans"/>
                    </a:defRPr>
                  </a:pPr>
                  <a:endParaRPr/>
                </a:p>
              </c:txPr>
            </c:dLbl>
            <c:dLbl>
              <c:idx val="2"/>
              <c:layout>
                <c:manualLayout>
                  <c:x val="0.008510"/>
                  <c:y val="-0.005750"/>
                </c:manualLayout>
              </c:layout>
              <c:numFmt formatCode="General" sourceLinked="0"/>
              <c:separator xml:space="preserve">; </c:separator>
              <c:showBubbleSize val="0"/>
              <c:showCatName val="0"/>
              <c:showLegendKey val="0"/>
              <c:showPercent val="0"/>
              <c:showSerName val="0"/>
              <c:showVal val="1"/>
              <c:txPr>
                <a:bodyPr wrap="square"/>
                <a:lstStyle/>
                <a:p>
                  <a:pPr>
                    <a:defRPr sz="1100" b="1" strike="noStrike" spc="0">
                      <a:solidFill>
                        <a:srgbClr val="000000"/>
                      </a:solidFill>
                      <a:latin typeface="Times New Roman"/>
                      <a:ea typeface="DejaVu Sans"/>
                    </a:defRPr>
                  </a:pPr>
                  <a:endParaRPr/>
                </a:p>
              </c:txPr>
            </c:dLbl>
            <c:dLbl>
              <c:idx val="3"/>
              <c:layout>
                <c:manualLayout>
                  <c:x val="0.007400"/>
                  <c:y val="-0.015330"/>
                </c:manualLayout>
              </c:layout>
              <c:numFmt formatCode="General" sourceLinked="0"/>
              <c:separator xml:space="preserve">; </c:separator>
              <c:showBubbleSize val="0"/>
              <c:showCatName val="0"/>
              <c:showLegendKey val="0"/>
              <c:showPercent val="0"/>
              <c:showSerName val="0"/>
              <c:showVal val="1"/>
              <c:txPr>
                <a:bodyPr wrap="square"/>
                <a:lstStyle/>
                <a:p>
                  <a:pPr>
                    <a:defRPr sz="1100" b="1" strike="noStrike" spc="0">
                      <a:solidFill>
                        <a:srgbClr val="000000"/>
                      </a:solidFill>
                      <a:latin typeface="Times New Roman"/>
                      <a:ea typeface="DejaVu Sans"/>
                    </a:defRPr>
                  </a:pPr>
                  <a:endParaRPr/>
                </a:p>
              </c:txPr>
            </c:dLbl>
            <c:dLbl>
              <c:idx val="4"/>
              <c:layout>
                <c:manualLayout>
                  <c:x val="0.010360"/>
                  <c:y val="-0.017890"/>
                </c:manualLayout>
              </c:layout>
              <c:numFmt formatCode="General" sourceLinked="0"/>
              <c:separator xml:space="preserve">; </c:separator>
              <c:showBubbleSize val="0"/>
              <c:showCatName val="0"/>
              <c:showLegendKey val="0"/>
              <c:showPercent val="0"/>
              <c:showSerName val="0"/>
              <c:showVal val="1"/>
              <c:txPr>
                <a:bodyPr wrap="square"/>
                <a:lstStyle/>
                <a:p>
                  <a:pPr>
                    <a:defRPr sz="1100" b="1" strike="noStrike" spc="0">
                      <a:solidFill>
                        <a:srgbClr val="000000"/>
                      </a:solidFill>
                      <a:latin typeface="Times New Roman"/>
                      <a:ea typeface="DejaVu Sans"/>
                    </a:defRPr>
                  </a:pPr>
                  <a:endParaRPr/>
                </a:p>
              </c:txPr>
            </c:dLbl>
            <c:dLbl>
              <c:idx val="5"/>
              <c:layout>
                <c:manualLayout>
                  <c:x val="0.010360"/>
                  <c:y val="-0.012780"/>
                </c:manualLayout>
              </c:layout>
              <c:numFmt formatCode="General" sourceLinked="0"/>
              <c:separator xml:space="preserve">; </c:separator>
              <c:showBubbleSize val="0"/>
              <c:showCatName val="0"/>
              <c:showLegendKey val="0"/>
              <c:showPercent val="0"/>
              <c:showSerName val="0"/>
              <c:showVal val="1"/>
              <c:txPr>
                <a:bodyPr wrap="square"/>
                <a:lstStyle/>
                <a:p>
                  <a:pPr>
                    <a:defRPr sz="1100" b="1" strike="noStrike" spc="0">
                      <a:solidFill>
                        <a:srgbClr val="000000"/>
                      </a:solidFill>
                      <a:latin typeface="Times New Roman"/>
                      <a:ea typeface="DejaVu Sans"/>
                    </a:defRPr>
                  </a:pPr>
                  <a:endParaRPr/>
                </a:p>
              </c:txPr>
            </c:dLbl>
            <c:numFmt formatCode="General" sourceLinked="0"/>
            <c:separator xml:space="preserve">;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txPr>
              <a:bodyPr wrap="square"/>
              <a:lstStyle/>
              <a:p>
                <a:pPr>
                  <a:defRPr sz="1100" b="1" strike="noStrike" spc="0">
                    <a:solidFill>
                      <a:srgbClr val="000000"/>
                    </a:solidFill>
                    <a:latin typeface="Times New Roman"/>
                    <a:ea typeface="Arial"/>
                  </a:defRPr>
                </a:pPr>
                <a:endParaRPr/>
              </a:p>
            </c:txPr>
          </c:dLbls>
          <c:cat>
            <c:strRef>
              <c:f>Sheet1!$B$1:$B$6</c:f>
              <c:strCache>
                <c:ptCount val="6"/>
                <c:pt idx="0">
                  <c:v xml:space="preserve">были полностью устранены</c:v>
                </c:pt>
                <c:pt idx="1">
                  <c:v xml:space="preserve">стало проще преодолевать</c:v>
                </c:pt>
                <c:pt idx="2">
                  <c:v xml:space="preserve">не изменились</c:v>
                </c:pt>
                <c:pt idx="3">
                  <c:v xml:space="preserve">стало сложнее преодолевать</c:v>
                </c:pt>
                <c:pt idx="4">
                  <c:v>появились</c:v>
                </c:pt>
                <c:pt idx="5">
                  <c:v xml:space="preserve">отсутствуют, как и ранее</c:v>
                </c:pt>
              </c:strCache>
            </c:strRef>
          </c:cat>
          <c:val>
            <c:numRef>
              <c:f>Sheet1!$A$1:$A$6</c:f>
              <c:numCache>
                <c:formatCode>General</c:formatCode>
                <c:ptCount val="6"/>
                <c:pt idx="0">
                  <c:v>2382</c:v>
                </c:pt>
                <c:pt idx="1">
                  <c:v>2380</c:v>
                </c:pt>
                <c:pt idx="2">
                  <c:v>2326</c:v>
                </c:pt>
                <c:pt idx="3">
                  <c:v>2257</c:v>
                </c:pt>
                <c:pt idx="4">
                  <c:v>2164</c:v>
                </c:pt>
                <c:pt idx="5">
                  <c:v>2190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cylinder"/>
        <c:axId val="2140841663"/>
        <c:axId val="2140841664"/>
      </c:bar3DChart>
      <c:catAx>
        <c:axId val="2140841663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 bwMode="auto">
          <a:prstGeom prst="rect">
            <a:avLst/>
          </a:prstGeom>
          <a:ln w="9360">
            <a:solidFill>
              <a:srgbClr val="878787"/>
            </a:solidFill>
            <a:round/>
          </a:ln>
        </c:spPr>
        <c:txPr>
          <a:bodyPr rot="-5400000"/>
          <a:lstStyle/>
          <a:p>
            <a:pPr>
              <a:defRPr sz="900" b="0" strike="noStrike" spc="0">
                <a:solidFill>
                  <a:schemeClr val="tx1"/>
                </a:solidFill>
                <a:latin typeface="Times New Roman"/>
                <a:ea typeface="Arial"/>
              </a:defRPr>
            </a:pPr>
            <a:endParaRPr/>
          </a:p>
        </c:txPr>
        <c:crossAx val="2140841664"/>
        <c:crosses val="autoZero"/>
        <c:auto val="1"/>
        <c:lblAlgn val="ctr"/>
        <c:lblOffset val="100"/>
        <c:noMultiLvlLbl val="0"/>
      </c:catAx>
      <c:valAx>
        <c:axId val="2140841664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360">
              <a:solidFill>
                <a:srgbClr val="878787"/>
              </a:solidFill>
              <a:round/>
            </a:ln>
          </c:spPr>
        </c:majorGridlines>
        <c:title>
          <c:tx>
            <c:rich>
              <a:bodyPr rot="-5400000"/>
              <a:lstStyle/>
              <a:p>
                <a:pPr>
                  <a:defRPr lang="ru-RU" sz="1200" b="0" strike="noStrike" spc="0">
                    <a:solidFill>
                      <a:srgbClr val="000000"/>
                    </a:solidFill>
                    <a:latin typeface="Times New Roman"/>
                    <a:ea typeface="Calibri"/>
                  </a:defRPr>
                </a:pPr>
                <a:r>
                  <a:rPr lang="ru-RU" sz="1000" b="0" strike="noStrike" spc="0">
                    <a:solidFill>
                      <a:srgbClr val="000000"/>
                    </a:solidFill>
                    <a:latin typeface="Times New Roman"/>
                    <a:ea typeface="Calibri"/>
                  </a:rPr>
                  <a:t>человек</a:t>
                </a:r>
                <a:endParaRPr sz="1000"/>
              </a:p>
            </c:rich>
          </c:tx>
          <c:layout>
            <c:manualLayout>
              <c:xMode val="edge"/>
              <c:yMode val="edge"/>
              <c:x val="-0.001570"/>
              <c:y val="0.362260"/>
            </c:manualLayout>
          </c:layout>
          <c:overlay val="0"/>
          <c:spPr bwMode="auto">
            <a:prstGeom prst="rect">
              <a:avLst/>
            </a:prstGeom>
            <a:noFill/>
            <a:ln w="0">
              <a:noFill/>
            </a:ln>
          </c:spPr>
          <c:txPr>
            <a:bodyPr/>
            <a:p>
              <a:pPr>
                <a:defRPr sz="800"/>
              </a:pPr>
              <a:endParaRPr/>
            </a:p>
          </c:txPr>
        </c:title>
        <c:numFmt formatCode="General" sourceLinked="0"/>
        <c:majorTickMark val="out"/>
        <c:minorTickMark val="none"/>
        <c:tickLblPos val="nextTo"/>
        <c:spPr bwMode="auto">
          <a:prstGeom prst="rect">
            <a:avLst/>
          </a:prstGeom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0">
                <a:solidFill>
                  <a:srgbClr val="000000"/>
                </a:solidFill>
                <a:latin typeface="Times New Roman"/>
                <a:ea typeface="Arial"/>
              </a:defRPr>
            </a:pPr>
            <a:endParaRPr/>
          </a:p>
        </c:txPr>
        <c:crossAx val="2140841663"/>
        <c:crosses val="autoZero"/>
        <c:crossBetween val="between"/>
      </c:valAx>
    </c:plotArea>
    <c:plotVisOnly val="1"/>
    <c:dispBlanksAs val="gap"/>
    <c:showDLblsOverMax val="0"/>
  </c:chart>
  <c:spPr bwMode="auto">
    <a:xfrm>
      <a:off x="0" y="0"/>
      <a:ext cx="6066153" cy="1882254"/>
    </a:xfrm>
    <a:prstGeom prst="rect">
      <a:avLst/>
    </a:prstGeom>
    <a:solidFill>
      <a:srgbClr val="FFFFFF"/>
    </a:solidFill>
    <a:ln w="9360">
      <a:solidFill>
        <a:srgbClr val="BFBFBF"/>
      </a:solidFill>
      <a:round/>
    </a:ln>
  </c:sp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0"/>
    <c:view3D>
      <c:rotX val="10"/>
      <c:rotY val="3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077880"/>
          <c:y val="0.054150"/>
          <c:w val="0.894910"/>
          <c:h val="0.707580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 xml:space="preserve">'Лист1 (2)'!$$6</c:f>
              <c:strCache>
                <c:ptCount val="1"/>
                <c:pt idx="0">
                  <c:v xml:space="preserve">электронные обращения</c:v>
                </c:pt>
              </c:strCache>
            </c:strRef>
          </c:tx>
          <c:spPr bwMode="auto">
            <a:prstGeom prst="rect">
              <a:avLst/>
            </a:prstGeom>
            <a:solidFill>
              <a:srgbClr val="F799DE"/>
            </a:solidFill>
            <a:ln w="9525" cap="flat" cmpd="sng" algn="ctr">
              <a:solidFill>
                <a:schemeClr val="tx1"/>
              </a:solidFill>
              <a:prstDash val="solid"/>
              <a:round/>
            </a:ln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 xml:space="preserve">'Лист1 (2)'!$C$1:$C$3</c:f>
              <c:strCache>
                <c:ptCount val="3"/>
                <c:pt idx="0">
                  <c:v xml:space="preserve">2023 год</c:v>
                </c:pt>
                <c:pt idx="1">
                  <c:v xml:space="preserve">2024 год</c:v>
                </c:pt>
                <c:pt idx="2">
                  <c:v xml:space="preserve">2025 год</c:v>
                </c:pt>
              </c:strCache>
            </c:strRef>
          </c:cat>
          <c:val>
            <c:numRef>
              <c:f xml:space="preserve">'Лист1 (2)'!$$1:$B$1</c:f>
              <c:numCache>
                <c:formatCode>General</c:formatCode>
                <c:ptCount val="3"/>
                <c:pt idx="0">
                  <c:v>10295</c:v>
                </c:pt>
                <c:pt idx="1">
                  <c:v>22655</c:v>
                </c:pt>
                <c:pt idx="2">
                  <c:v>17618</c:v>
                </c:pt>
              </c:numCache>
            </c:numRef>
          </c:val>
        </c:ser>
        <c:ser>
          <c:idx val="1"/>
          <c:order val="1"/>
          <c:tx>
            <c:strRef>
              <c:f xml:space="preserve">'Лист1 (2)'!$A$6</c:f>
              <c:strCache>
                <c:ptCount val="1"/>
                <c:pt idx="0">
                  <c:v xml:space="preserve">из администрации КК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F034"/>
            </a:solidFill>
            <a:ln w="9525" cap="flat" cmpd="sng" algn="ctr">
              <a:solidFill>
                <a:schemeClr val="tx1"/>
              </a:solidFill>
              <a:prstDash val="solid"/>
              <a:round/>
            </a:ln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 xml:space="preserve">'Лист1 (2)'!$C$1:$C$3</c:f>
              <c:strCache>
                <c:ptCount val="3"/>
                <c:pt idx="0">
                  <c:v xml:space="preserve">2023 год</c:v>
                </c:pt>
                <c:pt idx="1">
                  <c:v xml:space="preserve">2024 год</c:v>
                </c:pt>
                <c:pt idx="2">
                  <c:v xml:space="preserve">2025 год</c:v>
                </c:pt>
              </c:strCache>
            </c:strRef>
          </c:cat>
          <c:val>
            <c:numRef>
              <c:f xml:space="preserve">'Лист1 (2)'!$$2:$B$2</c:f>
              <c:numCache>
                <c:formatCode>General</c:formatCode>
                <c:ptCount val="3"/>
                <c:pt idx="0">
                  <c:v>10906</c:v>
                </c:pt>
                <c:pt idx="1">
                  <c:v>14070</c:v>
                </c:pt>
                <c:pt idx="2">
                  <c:v>7700</c:v>
                </c:pt>
              </c:numCache>
            </c:numRef>
          </c:val>
        </c:ser>
        <c:ser>
          <c:idx val="2"/>
          <c:order val="2"/>
          <c:tx>
            <c:strRef>
              <c:f xml:space="preserve">'Лист1 (2)'!$B$6</c:f>
              <c:strCache>
                <c:ptCount val="1"/>
                <c:pt idx="0">
                  <c:v xml:space="preserve">поступило обращений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FF00"/>
            </a:solidFill>
            <a:ln w="9525" cap="flat" cmpd="sng" algn="ctr">
              <a:solidFill>
                <a:schemeClr val="tx1"/>
              </a:solidFill>
              <a:prstDash val="solid"/>
              <a:round/>
            </a:ln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 xml:space="preserve">'Лист1 (2)'!$C$1:$C$3</c:f>
              <c:strCache>
                <c:ptCount val="3"/>
                <c:pt idx="0">
                  <c:v xml:space="preserve">2023 год</c:v>
                </c:pt>
                <c:pt idx="1">
                  <c:v xml:space="preserve">2024 год</c:v>
                </c:pt>
                <c:pt idx="2">
                  <c:v xml:space="preserve">2025 год</c:v>
                </c:pt>
              </c:strCache>
            </c:strRef>
          </c:cat>
          <c:val>
            <c:numRef>
              <c:f xml:space="preserve">'Лист1 (2)'!$$3:$B$3</c:f>
              <c:numCache>
                <c:formatCode>General</c:formatCode>
                <c:ptCount val="3"/>
                <c:pt idx="0">
                  <c:v>41097</c:v>
                </c:pt>
                <c:pt idx="1">
                  <c:v>50235</c:v>
                </c:pt>
                <c:pt idx="2">
                  <c:v>45518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gapWidth val="150"/>
        <c:axId val="2140841683"/>
        <c:axId val="2140841684"/>
      </c:bar3DChart>
      <c:catAx>
        <c:axId val="21408416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1000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684"/>
        <c:crosses val="autoZero"/>
        <c:auto val="1"/>
        <c:lblAlgn val="ctr"/>
        <c:lblOffset val="100"/>
        <c:tickMarkSkip val="1"/>
        <c:noMultiLvlLbl val="0"/>
      </c:catAx>
      <c:valAx>
        <c:axId val="2140841684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1000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683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>
        <c:manualLayout>
          <c:xMode val="edge"/>
          <c:yMode val="edge"/>
          <c:x val="0.054510"/>
          <c:y val="0.888080"/>
          <c:w val="0.906530"/>
          <c:h val="0.089020"/>
        </c:manualLayout>
      </c:layout>
      <c:overlay val="0"/>
      <c:spPr bwMode="auto">
        <a:prstGeom prst="rect">
          <a:avLst/>
        </a:prstGeom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>
              <a:solidFill>
                <a:srgbClr val="000000"/>
              </a:solidFill>
              <a:latin typeface="Tinos"/>
              <a:ea typeface="Tinos"/>
              <a:cs typeface="Tino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6115050" cy="2079942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900">
          <a:solidFill>
            <a:schemeClr val="dk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6740"/>
          <c:y val="0.025090"/>
          <c:w val="0.826050"/>
          <c:h val="0.456980"/>
        </c:manualLayout>
      </c:layout>
      <c:barChart>
        <c:barDir val="col"/>
        <c:grouping val="percentStacked"/>
        <c:varyColors val="0"/>
        <c:ser>
          <c:idx val="0"/>
          <c:order val="0"/>
          <c:tx>
            <c:v>достаточно</c:v>
          </c:tx>
          <c:spPr bwMode="auto">
            <a:prstGeom prst="rect">
              <a:avLst/>
            </a:prstGeom>
            <a:solidFill>
              <a:srgbClr val="0070C0"/>
            </a:solidFill>
            <a:ln w="12699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Лист1!$C$1:$C$12</c:f>
              <c:strCache>
                <c:ptCount val="12"/>
                <c:pt idx="0">
                  <c:v xml:space="preserve">сфера образования</c:v>
                </c:pt>
                <c:pt idx="1">
                  <c:v xml:space="preserve">социальная сфера</c:v>
                </c:pt>
                <c:pt idx="2">
                  <c:v>здравоохранение</c:v>
                </c:pt>
                <c:pt idx="3">
                  <c:v>ЖКХ</c:v>
                </c:pt>
                <c:pt idx="4">
                  <c:v xml:space="preserve">транспортный комплекс</c:v>
                </c:pt>
                <c:pt idx="5">
                  <c:v xml:space="preserve">информационные технологии</c:v>
                </c:pt>
                <c:pt idx="6">
                  <c:v>строительство</c:v>
                </c:pt>
                <c:pt idx="7">
                  <c:v>АПК</c:v>
                </c:pt>
                <c:pt idx="8">
                  <c:v>промышленность</c:v>
                </c:pt>
                <c:pt idx="9">
                  <c:v xml:space="preserve">торговля и услуги населению</c:v>
                </c:pt>
                <c:pt idx="10">
                  <c:v xml:space="preserve">санаторно-курортный комплекс</c:v>
                </c:pt>
                <c:pt idx="11">
                  <c:v>спорт</c:v>
                </c:pt>
              </c:strCache>
            </c:strRef>
          </c:cat>
          <c:val>
            <c:numRef>
              <c:f>Лист1!$A$1:$A$12</c:f>
              <c:numCache>
                <c:formatCode>General</c:formatCode>
                <c:ptCount val="12"/>
                <c:pt idx="0">
                  <c:v>22671</c:v>
                </c:pt>
                <c:pt idx="1">
                  <c:v>21051</c:v>
                </c:pt>
                <c:pt idx="2">
                  <c:v>20841</c:v>
                </c:pt>
                <c:pt idx="3">
                  <c:v>25434</c:v>
                </c:pt>
                <c:pt idx="4">
                  <c:v>25572</c:v>
                </c:pt>
                <c:pt idx="5">
                  <c:v>25614</c:v>
                </c:pt>
                <c:pt idx="6">
                  <c:v>25445</c:v>
                </c:pt>
                <c:pt idx="7">
                  <c:v>27095</c:v>
                </c:pt>
                <c:pt idx="8">
                  <c:v>28209</c:v>
                </c:pt>
                <c:pt idx="9">
                  <c:v>28782</c:v>
                </c:pt>
                <c:pt idx="10">
                  <c:v>22278</c:v>
                </c:pt>
                <c:pt idx="11">
                  <c:v>25670</c:v>
                </c:pt>
              </c:numCache>
            </c:numRef>
          </c:val>
        </c:ser>
        <c:ser>
          <c:idx val="1"/>
          <c:order val="1"/>
          <c:tx>
            <c:v>мало</c:v>
          </c:tx>
          <c:spPr bwMode="auto">
            <a:prstGeom prst="rect">
              <a:avLst/>
            </a:prstGeom>
            <a:solidFill>
              <a:srgbClr val="FFC000"/>
            </a:solidFill>
            <a:ln w="12699">
              <a:solidFill>
                <a:schemeClr val="tx1"/>
              </a:solidFill>
              <a:prstDash val="solid"/>
            </a:ln>
          </c:spPr>
          <c:invertIfNegative val="0"/>
          <c:dPt>
            <c:idx val="0"/>
            <c:spPr bwMode="auto">
              <a:prstGeom prst="rect">
                <a:avLst/>
              </a:prstGeom>
              <a:solidFill>
                <a:srgbClr val="FFC000"/>
              </a:solidFill>
              <a:ln w="12699">
                <a:solidFill>
                  <a:schemeClr val="tx1"/>
                </a:solidFill>
                <a:prstDash val="solid"/>
              </a:ln>
            </c:spPr>
          </c:dPt>
          <c:cat>
            <c:strRef>
              <c:f>Лист1!$C$1:$C$12</c:f>
              <c:strCache>
                <c:ptCount val="12"/>
                <c:pt idx="0">
                  <c:v xml:space="preserve">сфера образования</c:v>
                </c:pt>
                <c:pt idx="1">
                  <c:v xml:space="preserve">социальная сфера</c:v>
                </c:pt>
                <c:pt idx="2">
                  <c:v>здравоохранение</c:v>
                </c:pt>
                <c:pt idx="3">
                  <c:v>ЖКХ</c:v>
                </c:pt>
                <c:pt idx="4">
                  <c:v xml:space="preserve">транспортный комплекс</c:v>
                </c:pt>
                <c:pt idx="5">
                  <c:v xml:space="preserve">информационные технологии</c:v>
                </c:pt>
                <c:pt idx="6">
                  <c:v>строительство</c:v>
                </c:pt>
                <c:pt idx="7">
                  <c:v>АПК</c:v>
                </c:pt>
                <c:pt idx="8">
                  <c:v>промышленность</c:v>
                </c:pt>
                <c:pt idx="9">
                  <c:v xml:space="preserve">торговля и услуги населению</c:v>
                </c:pt>
                <c:pt idx="10">
                  <c:v xml:space="preserve">санаторно-курортный комплекс</c:v>
                </c:pt>
                <c:pt idx="11">
                  <c:v>спорт</c:v>
                </c:pt>
              </c:strCache>
            </c:strRef>
          </c:cat>
          <c:val>
            <c:numRef>
              <c:f>Лист1!$B$1:$B$12</c:f>
              <c:numCache>
                <c:formatCode>General</c:formatCode>
                <c:ptCount val="12"/>
                <c:pt idx="0">
                  <c:v>3919</c:v>
                </c:pt>
                <c:pt idx="1">
                  <c:v>6955</c:v>
                </c:pt>
                <c:pt idx="2">
                  <c:v>7314</c:v>
                </c:pt>
                <c:pt idx="3">
                  <c:v>2673</c:v>
                </c:pt>
                <c:pt idx="4">
                  <c:v>4083</c:v>
                </c:pt>
                <c:pt idx="5">
                  <c:v>3718</c:v>
                </c:pt>
                <c:pt idx="6">
                  <c:v>2412</c:v>
                </c:pt>
                <c:pt idx="7">
                  <c:v>2188</c:v>
                </c:pt>
                <c:pt idx="8">
                  <c:v>2137</c:v>
                </c:pt>
                <c:pt idx="9">
                  <c:v>2277</c:v>
                </c:pt>
                <c:pt idx="10">
                  <c:v>4026</c:v>
                </c:pt>
                <c:pt idx="11">
                  <c:v>3787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overlap val="100"/>
        <c:axId val="2140841487"/>
        <c:axId val="2140841488"/>
      </c:barChart>
      <c:catAx>
        <c:axId val="21408414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800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488"/>
        <c:crosses val="autoZero"/>
        <c:auto val="1"/>
        <c:lblAlgn val="ctr"/>
        <c:lblOffset val="100"/>
        <c:tickMarkSkip val="1"/>
        <c:noMultiLvlLbl val="0"/>
      </c:catAx>
      <c:valAx>
        <c:axId val="214084148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0%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1000" b="1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487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plotVisOnly val="1"/>
    <c:dispBlanksAs val="gap"/>
    <c:showDLblsOverMax val="0"/>
  </c:chart>
  <c:spPr bwMode="auto">
    <a:xfrm>
      <a:off x="0" y="0"/>
      <a:ext cx="6115366" cy="2037300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rgbClr val="000000"/>
          </a:solidFill>
          <a:latin typeface="Tinos"/>
          <a:ea typeface="Tinos"/>
          <a:cs typeface="Tino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096560"/>
          <c:y val="0.103220"/>
          <c:w val="0.874670"/>
          <c:h val="0.634020"/>
        </c:manualLayout>
      </c:layout>
      <c:bar3DChart>
        <c:barDir val="col"/>
        <c:grouping val="percentStacked"/>
        <c:varyColors val="0"/>
        <c:ser>
          <c:idx val="0"/>
          <c:order val="0"/>
          <c:tx>
            <c:v>высокий</c:v>
          </c:tx>
          <c:spPr bwMode="auto">
            <a:prstGeom prst="rect">
              <a:avLst/>
            </a:prstGeom>
            <a:solidFill>
              <a:srgbClr val="FFFF00"/>
            </a:solidFill>
            <a:ln w="9525" cap="flat" cmpd="sng" algn="ctr">
              <a:solidFill>
                <a:schemeClr val="tx1"/>
              </a:solidFill>
              <a:prstDash val="solid"/>
              <a:round/>
            </a:ln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 xml:space="preserve">'Лист1 (2)'!$C$1:$C$3</c:f>
              <c:strCache>
                <c:ptCount val="3"/>
                <c:pt idx="0">
                  <c:v xml:space="preserve">уровень доступности</c:v>
                </c:pt>
                <c:pt idx="1">
                  <c:v xml:space="preserve">уровень понятности</c:v>
                </c:pt>
                <c:pt idx="2">
                  <c:v xml:space="preserve">удобство получения</c:v>
                </c:pt>
              </c:strCache>
            </c:strRef>
          </c:cat>
          <c:val>
            <c:numRef>
              <c:f xml:space="preserve">'Лист1 (2)'!$A$1:$A$3</c:f>
              <c:numCache>
                <c:formatCode>General</c:formatCode>
                <c:ptCount val="3"/>
                <c:pt idx="0">
                  <c:v>5381</c:v>
                </c:pt>
                <c:pt idx="1">
                  <c:v>5439</c:v>
                </c:pt>
                <c:pt idx="2">
                  <c:v>5382</c:v>
                </c:pt>
              </c:numCache>
            </c:numRef>
          </c:val>
        </c:ser>
        <c:ser>
          <c:idx val="1"/>
          <c:order val="1"/>
          <c:tx>
            <c:v>низкий</c:v>
          </c:tx>
          <c:spPr bwMode="auto">
            <a:prstGeom prst="rect">
              <a:avLst/>
            </a:prstGeom>
            <a:solidFill>
              <a:srgbClr val="00B0F0"/>
            </a:solidFill>
            <a:ln w="9525" cap="flat" cmpd="sng" algn="ctr">
              <a:solidFill>
                <a:schemeClr val="tx1"/>
              </a:solidFill>
              <a:prstDash val="solid"/>
              <a:round/>
            </a:ln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 xml:space="preserve">'Лист1 (2)'!$C$1:$C$3</c:f>
              <c:strCache>
                <c:ptCount val="3"/>
                <c:pt idx="0">
                  <c:v xml:space="preserve">уровень доступности</c:v>
                </c:pt>
                <c:pt idx="1">
                  <c:v xml:space="preserve">уровень понятности</c:v>
                </c:pt>
                <c:pt idx="2">
                  <c:v xml:space="preserve">удобство получения</c:v>
                </c:pt>
              </c:strCache>
            </c:strRef>
          </c:cat>
          <c:val>
            <c:numRef>
              <c:f xml:space="preserve">'Лист1 (2)'!$B$1:$B$3</c:f>
              <c:numCache>
                <c:formatCode>General</c:formatCode>
                <c:ptCount val="3"/>
                <c:pt idx="0">
                  <c:v>5251</c:v>
                </c:pt>
                <c:pt idx="1">
                  <c:v>5290</c:v>
                </c:pt>
                <c:pt idx="2">
                  <c:v>5265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gapWidth val="150"/>
        <c:axId val="2140841499"/>
        <c:axId val="2140841500"/>
      </c:bar3DChart>
      <c:catAx>
        <c:axId val="21408414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1000" b="1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500"/>
        <c:crosses val="autoZero"/>
        <c:auto val="1"/>
        <c:lblAlgn val="ctr"/>
        <c:lblOffset val="100"/>
        <c:tickMarkSkip val="1"/>
        <c:noMultiLvlLbl val="0"/>
      </c:catAx>
      <c:valAx>
        <c:axId val="214084150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0%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1000" b="0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499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>
        <c:manualLayout>
          <c:xMode val="edge"/>
          <c:yMode val="edge"/>
          <c:x val="0.308400"/>
          <c:y val="0.898110"/>
          <c:w val="0.392520"/>
          <c:h val="0.07595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>
              <a:solidFill>
                <a:srgbClr val="000000"/>
              </a:solidFill>
              <a:latin typeface="Tinos"/>
              <a:ea typeface="Tinos"/>
              <a:cs typeface="Tino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6115046" cy="1776261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900">
          <a:solidFill>
            <a:schemeClr val="dk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098130"/>
          <c:y val="0.106270"/>
          <c:w val="0.874670"/>
          <c:h val="0.620620"/>
        </c:manualLayout>
      </c:layout>
      <c:bar3DChart>
        <c:barDir val="col"/>
        <c:grouping val="percentStacked"/>
        <c:varyColors val="0"/>
        <c:ser>
          <c:idx val="0"/>
          <c:order val="0"/>
          <c:tx>
            <c:v>удовлетворительно</c:v>
          </c:tx>
          <c:spPr bwMode="auto">
            <a:prstGeom prst="rect">
              <a:avLst/>
            </a:prstGeom>
            <a:solidFill>
              <a:srgbClr val="FFFF00"/>
            </a:solidFill>
            <a:ln w="9525" cap="flat" cmpd="sng" algn="ctr">
              <a:solidFill>
                <a:schemeClr val="tx1"/>
              </a:solidFill>
              <a:prstDash val="solid"/>
              <a:round/>
            </a:ln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 xml:space="preserve">'Лист1 (2)'!$C$1:$C$6</c:f>
              <c:strCache>
                <c:ptCount val="6"/>
                <c:pt idx="0">
                  <c:v xml:space="preserve">критерий 1</c:v>
                </c:pt>
                <c:pt idx="1">
                  <c:v xml:space="preserve">критерий 2</c:v>
                </c:pt>
                <c:pt idx="2">
                  <c:v xml:space="preserve">критерий 3</c:v>
                </c:pt>
                <c:pt idx="3">
                  <c:v xml:space="preserve">критерий 4</c:v>
                </c:pt>
                <c:pt idx="4">
                  <c:v xml:space="preserve">критерий 5</c:v>
                </c:pt>
                <c:pt idx="5">
                  <c:v xml:space="preserve">критерий 6</c:v>
                </c:pt>
              </c:strCache>
            </c:strRef>
          </c:cat>
          <c:val>
            <c:numRef>
              <c:f xml:space="preserve">'Лист1 (2)'!$A$1:$A$6</c:f>
              <c:numCache>
                <c:formatCode>General</c:formatCode>
                <c:ptCount val="6"/>
                <c:pt idx="0">
                  <c:v>5471</c:v>
                </c:pt>
                <c:pt idx="1">
                  <c:v>5484</c:v>
                </c:pt>
                <c:pt idx="2">
                  <c:v>5584</c:v>
                </c:pt>
                <c:pt idx="3">
                  <c:v>5359</c:v>
                </c:pt>
                <c:pt idx="4">
                  <c:v>5468</c:v>
                </c:pt>
                <c:pt idx="5">
                  <c:v>5418</c:v>
                </c:pt>
              </c:numCache>
            </c:numRef>
          </c:val>
        </c:ser>
        <c:ser>
          <c:idx val="1"/>
          <c:order val="1"/>
          <c:tx>
            <c:v>неудовлетворительно</c:v>
          </c:tx>
          <c:spPr bwMode="auto">
            <a:prstGeom prst="rect">
              <a:avLst/>
            </a:prstGeom>
            <a:solidFill>
              <a:srgbClr val="00B0F0"/>
            </a:solidFill>
            <a:ln w="9525" cap="flat" cmpd="sng" algn="ctr">
              <a:solidFill>
                <a:schemeClr val="tx1"/>
              </a:solidFill>
              <a:prstDash val="solid"/>
              <a:round/>
            </a:ln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 xml:space="preserve">'Лист1 (2)'!$C$1:$C$6</c:f>
              <c:strCache>
                <c:ptCount val="6"/>
                <c:pt idx="0">
                  <c:v xml:space="preserve">критерий 1</c:v>
                </c:pt>
                <c:pt idx="1">
                  <c:v xml:space="preserve">критерий 2</c:v>
                </c:pt>
                <c:pt idx="2">
                  <c:v xml:space="preserve">критерий 3</c:v>
                </c:pt>
                <c:pt idx="3">
                  <c:v xml:space="preserve">критерий 4</c:v>
                </c:pt>
                <c:pt idx="4">
                  <c:v xml:space="preserve">критерий 5</c:v>
                </c:pt>
                <c:pt idx="5">
                  <c:v xml:space="preserve">критерий 6</c:v>
                </c:pt>
              </c:strCache>
            </c:strRef>
          </c:cat>
          <c:val>
            <c:numRef>
              <c:f xml:space="preserve">'Лист1 (2)'!$B$1:$B$6</c:f>
              <c:numCache>
                <c:formatCode>General</c:formatCode>
                <c:ptCount val="6"/>
                <c:pt idx="0">
                  <c:v>5163</c:v>
                </c:pt>
                <c:pt idx="1">
                  <c:v>5151</c:v>
                </c:pt>
                <c:pt idx="2">
                  <c:v>5175</c:v>
                </c:pt>
                <c:pt idx="3">
                  <c:v>5299</c:v>
                </c:pt>
                <c:pt idx="4">
                  <c:v>5193</c:v>
                </c:pt>
                <c:pt idx="5">
                  <c:v>5259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gapWidth val="150"/>
        <c:axId val="2140841501"/>
        <c:axId val="2140841502"/>
      </c:bar3DChart>
      <c:catAx>
        <c:axId val="214084150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1000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502"/>
        <c:crosses val="autoZero"/>
        <c:auto val="1"/>
        <c:lblAlgn val="ctr"/>
        <c:lblOffset val="100"/>
        <c:tickMarkSkip val="1"/>
        <c:noMultiLvlLbl val="0"/>
      </c:catAx>
      <c:valAx>
        <c:axId val="214084150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0%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1000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501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>
        <c:manualLayout>
          <c:xMode val="edge"/>
          <c:yMode val="edge"/>
          <c:x val="0.152950"/>
          <c:y val="0.911750"/>
          <c:w val="0.711830"/>
          <c:h val="0.07057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>
              <a:solidFill>
                <a:srgbClr val="000000"/>
              </a:solidFill>
              <a:latin typeface="Tinos"/>
              <a:ea typeface="Tinos"/>
              <a:cs typeface="Tino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6115048" cy="1674101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900">
          <a:solidFill>
            <a:schemeClr val="dk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096570"/>
          <c:y val="0.103220"/>
          <c:w val="0.874670"/>
          <c:h val="0.625300"/>
        </c:manualLayout>
      </c:layout>
      <c:bar3DChart>
        <c:barDir val="col"/>
        <c:grouping val="percentStacked"/>
        <c:varyColors val="0"/>
        <c:ser>
          <c:idx val="0"/>
          <c:order val="0"/>
          <c:tx>
            <c:v>высокий</c:v>
          </c:tx>
          <c:spPr bwMode="auto">
            <a:prstGeom prst="rect">
              <a:avLst/>
            </a:prstGeom>
            <a:solidFill>
              <a:srgbClr val="FFFF00"/>
            </a:solidFill>
            <a:ln w="9525" cap="flat" cmpd="sng" algn="ctr">
              <a:solidFill>
                <a:schemeClr val="tx1"/>
              </a:solidFill>
              <a:prstDash val="solid"/>
              <a:round/>
            </a:ln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 xml:space="preserve">'Лист1 (2)'!$C$1:$C$3</c:f>
              <c:strCache>
                <c:ptCount val="3"/>
                <c:pt idx="0">
                  <c:v xml:space="preserve">уровень доступности</c:v>
                </c:pt>
                <c:pt idx="1">
                  <c:v xml:space="preserve">уровень понятности</c:v>
                </c:pt>
                <c:pt idx="2">
                  <c:v xml:space="preserve">удобство получения</c:v>
                </c:pt>
              </c:strCache>
            </c:strRef>
          </c:cat>
          <c:val>
            <c:numRef>
              <c:f xml:space="preserve">'Лист1 (2)'!$A$1:$A$3</c:f>
              <c:numCache>
                <c:formatCode>General</c:formatCode>
                <c:ptCount val="3"/>
                <c:pt idx="0">
                  <c:v>11297</c:v>
                </c:pt>
                <c:pt idx="1">
                  <c:v>11332</c:v>
                </c:pt>
                <c:pt idx="2">
                  <c:v>11096</c:v>
                </c:pt>
              </c:numCache>
            </c:numRef>
          </c:val>
        </c:ser>
        <c:ser>
          <c:idx val="1"/>
          <c:order val="1"/>
          <c:tx>
            <c:v>низкий</c:v>
          </c:tx>
          <c:spPr bwMode="auto">
            <a:prstGeom prst="rect">
              <a:avLst/>
            </a:prstGeom>
            <a:solidFill>
              <a:srgbClr val="00B0F0"/>
            </a:solidFill>
            <a:ln w="9525" cap="flat" cmpd="sng" algn="ctr">
              <a:solidFill>
                <a:schemeClr val="tx1"/>
              </a:solidFill>
              <a:prstDash val="solid"/>
              <a:round/>
            </a:ln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 xml:space="preserve">'Лист1 (2)'!$C$1:$C$3</c:f>
              <c:strCache>
                <c:ptCount val="3"/>
                <c:pt idx="0">
                  <c:v xml:space="preserve">уровень доступности</c:v>
                </c:pt>
                <c:pt idx="1">
                  <c:v xml:space="preserve">уровень понятности</c:v>
                </c:pt>
                <c:pt idx="2">
                  <c:v xml:space="preserve">удобство получения</c:v>
                </c:pt>
              </c:strCache>
            </c:strRef>
          </c:cat>
          <c:val>
            <c:numRef>
              <c:f xml:space="preserve">'Лист1 (2)'!$B$1:$B$3</c:f>
              <c:numCache>
                <c:formatCode>General</c:formatCode>
                <c:ptCount val="3"/>
                <c:pt idx="0">
                  <c:v>10567</c:v>
                </c:pt>
                <c:pt idx="1">
                  <c:v>10560</c:v>
                </c:pt>
                <c:pt idx="2">
                  <c:v>10656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gapWidth val="150"/>
        <c:axId val="2140841509"/>
        <c:axId val="2140841510"/>
      </c:bar3DChart>
      <c:catAx>
        <c:axId val="214084150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1000" b="1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510"/>
        <c:crosses val="autoZero"/>
        <c:auto val="1"/>
        <c:lblAlgn val="ctr"/>
        <c:lblOffset val="100"/>
        <c:tickMarkSkip val="1"/>
        <c:noMultiLvlLbl val="0"/>
      </c:catAx>
      <c:valAx>
        <c:axId val="214084151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0%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1000" b="0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509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>
        <c:manualLayout>
          <c:xMode val="edge"/>
          <c:yMode val="edge"/>
          <c:x val="0.308410"/>
          <c:y val="0.894730"/>
          <c:w val="0.392520"/>
          <c:h val="0.07933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>
              <a:solidFill>
                <a:srgbClr val="000000"/>
              </a:solidFill>
              <a:latin typeface="Tinos"/>
              <a:ea typeface="Tinos"/>
              <a:cs typeface="Tinos"/>
            </a:defRPr>
          </a:pPr>
          <a:endParaRPr lang="en-US"/>
        </a:p>
      </c:txPr>
    </c:legend>
    <c:plotVisOnly val="1"/>
    <c:dispBlanksAs val="gap"/>
    <c:showDLblsOverMax val="0"/>
  </c:chart>
  <c:spPr bwMode="auto">
    <a:xfrm rot="0" flipH="0" flipV="0">
      <a:off x="0" y="0"/>
      <a:ext cx="6115048" cy="1719244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900">
          <a:solidFill>
            <a:schemeClr val="dk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098130"/>
          <c:y val="0.106270"/>
          <c:w val="0.874670"/>
          <c:h val="0.692500"/>
        </c:manualLayout>
      </c:layout>
      <c:bar3DChart>
        <c:barDir val="col"/>
        <c:grouping val="clustered"/>
        <c:varyColors val="0"/>
        <c:ser>
          <c:idx val="0"/>
          <c:order val="0"/>
          <c:spPr bwMode="auto">
            <a:prstGeom prst="rect">
              <a:avLst/>
            </a:prstGeom>
            <a:solidFill>
              <a:srgbClr val="FFFF00"/>
            </a:solidFill>
            <a:ln w="9525" cap="flat" cmpd="sng" algn="ctr">
              <a:solidFill>
                <a:schemeClr val="tx1"/>
              </a:solidFill>
              <a:prstDash val="solid"/>
              <a:round/>
            </a:ln>
          </c:spPr>
          <c:invertIfNegative val="0"/>
          <c:dLbls>
            <c:separator xml:space="preserve">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1000" b="1">
                    <a:solidFill>
                      <a:srgbClr val="000000"/>
                    </a:solidFill>
                    <a:latin typeface="Tinos"/>
                    <a:ea typeface="Tinos"/>
                    <a:cs typeface="Tinos"/>
                  </a:defRPr>
                </a:pPr>
                <a:endParaRPr/>
              </a:p>
            </c:txPr>
          </c:dLbls>
          <c:cat>
            <c:strRef>
              <c:f xml:space="preserve">'Лист1 (2)'!$B$1:$B$12</c:f>
              <c:strCache>
                <c:ptCount val="12"/>
                <c:pt idx="0">
                  <c:v xml:space="preserve">барьеры отсутствуют</c:v>
                </c:pt>
                <c:pt idx="1">
                  <c:v xml:space="preserve">нехвартка квалифицированных кадров</c:v>
                </c:pt>
                <c:pt idx="2">
                  <c:v xml:space="preserve">пролбемы развития системы образования</c:v>
                </c:pt>
                <c:pt idx="3">
                  <c:v xml:space="preserve">неэффективная система управления</c:v>
                </c:pt>
                <c:pt idx="4">
                  <c:v xml:space="preserve">устаревшие бизнес-модели</c:v>
                </c:pt>
                <c:pt idx="5">
                  <c:v xml:space="preserve">устаревшее правовое обеспечение</c:v>
                </c:pt>
                <c:pt idx="6">
                  <c:v xml:space="preserve">нехватка финансов</c:v>
                </c:pt>
                <c:pt idx="7">
                  <c:v xml:space="preserve">отсутствие личной мотивации</c:v>
                </c:pt>
                <c:pt idx="8">
                  <c:v xml:space="preserve">нехватка производственных ресурсов</c:v>
                </c:pt>
                <c:pt idx="9">
                  <c:v xml:space="preserve">отсутствие стимулов к развитию</c:v>
                </c:pt>
                <c:pt idx="10">
                  <c:v xml:space="preserve">социально-политические факторы</c:v>
                </c:pt>
                <c:pt idx="11">
                  <c:v xml:space="preserve">высокие зартаты на внедрение</c:v>
                </c:pt>
              </c:strCache>
            </c:strRef>
          </c:cat>
          <c:val>
            <c:numRef>
              <c:f xml:space="preserve">'Лист1 (2)'!$A$1:$A$12</c:f>
              <c:numCache>
                <c:formatCode>General</c:formatCode>
                <c:ptCount val="12"/>
                <c:pt idx="0">
                  <c:v>1504</c:v>
                </c:pt>
                <c:pt idx="1">
                  <c:v>1533</c:v>
                </c:pt>
                <c:pt idx="2">
                  <c:v>1451</c:v>
                </c:pt>
                <c:pt idx="3">
                  <c:v>1439</c:v>
                </c:pt>
                <c:pt idx="4">
                  <c:v>1341</c:v>
                </c:pt>
                <c:pt idx="5">
                  <c:v>1347</c:v>
                </c:pt>
                <c:pt idx="6">
                  <c:v>1573</c:v>
                </c:pt>
                <c:pt idx="7">
                  <c:v>1302</c:v>
                </c:pt>
                <c:pt idx="8">
                  <c:v>1295</c:v>
                </c:pt>
                <c:pt idx="9">
                  <c:v>1263</c:v>
                </c:pt>
                <c:pt idx="10">
                  <c:v>1286</c:v>
                </c:pt>
                <c:pt idx="11">
                  <c:v>1337</c:v>
                </c:pt>
              </c:numCache>
            </c:numRef>
          </c:val>
        </c:ser>
        <c:dLbls>
          <c:separator xml:space="preserve"> </c:separator>
          <c:showBubbleSize val="0"/>
          <c:showCatName val="0"/>
          <c:showLeaderLines val="0"/>
          <c:showLegendKey val="0"/>
          <c:showPercent val="0"/>
          <c:showSerName val="0"/>
          <c:showVal val="1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gapWidth val="150"/>
        <c:axId val="2140841525"/>
        <c:axId val="2140841526"/>
      </c:bar3DChart>
      <c:catAx>
        <c:axId val="214084152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800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526"/>
        <c:crosses val="autoZero"/>
        <c:auto val="1"/>
        <c:lblAlgn val="ctr"/>
        <c:lblOffset val="100"/>
        <c:tickMarkSkip val="1"/>
        <c:noMultiLvlLbl val="0"/>
      </c:catAx>
      <c:valAx>
        <c:axId val="214084152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1000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525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plotVisOnly val="1"/>
    <c:dispBlanksAs val="gap"/>
    <c:showDLblsOverMax val="0"/>
  </c:chart>
  <c:spPr bwMode="auto">
    <a:xfrm>
      <a:off x="0" y="0"/>
      <a:ext cx="6115048" cy="2588660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900">
          <a:solidFill>
            <a:schemeClr val="dk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098130"/>
          <c:y val="0.029830"/>
          <c:w val="0.874670"/>
          <c:h val="0.470160"/>
        </c:manualLayout>
      </c:layout>
      <c:bar3DChart>
        <c:barDir val="col"/>
        <c:grouping val="percentStacked"/>
        <c:varyColors val="0"/>
        <c:ser>
          <c:idx val="0"/>
          <c:order val="0"/>
          <c:tx>
            <c:v>удовлетворительно</c:v>
          </c:tx>
          <c:spPr bwMode="auto">
            <a:prstGeom prst="rect">
              <a:avLst/>
            </a:prstGeom>
            <a:solidFill>
              <a:srgbClr val="FFFF00"/>
            </a:solidFill>
            <a:ln w="9525" cap="flat" cmpd="sng" algn="ctr">
              <a:solidFill>
                <a:schemeClr val="tx1"/>
              </a:solidFill>
              <a:prstDash val="solid"/>
              <a:round/>
            </a:ln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 xml:space="preserve">'Лист1 (2)'!$C$1:$C$7</c:f>
              <c:strCache>
                <c:ptCount val="7"/>
                <c:pt idx="0">
                  <c:v xml:space="preserve">портал инспекции ФНС</c:v>
                </c:pt>
                <c:pt idx="1">
                  <c:v xml:space="preserve">портал госуслуг</c:v>
                </c:pt>
                <c:pt idx="2">
                  <c:v xml:space="preserve">портал МФЦ</c:v>
                </c:pt>
                <c:pt idx="3">
                  <c:v>интернет-банкинг</c:v>
                </c:pt>
                <c:pt idx="4">
                  <c:v xml:space="preserve">инвестпортал КК</c:v>
                </c:pt>
                <c:pt idx="5">
                  <c:v>онлайн-торговля</c:v>
                </c:pt>
                <c:pt idx="6">
                  <c:v xml:space="preserve">информпорталы ОИВ КК</c:v>
                </c:pt>
              </c:strCache>
            </c:strRef>
          </c:cat>
          <c:val>
            <c:numRef>
              <c:f xml:space="preserve">'Лист1 (2)'!$A$1:$A$7</c:f>
              <c:numCache>
                <c:formatCode>General</c:formatCode>
                <c:ptCount val="7"/>
                <c:pt idx="0">
                  <c:v>5809</c:v>
                </c:pt>
                <c:pt idx="1">
                  <c:v>5715</c:v>
                </c:pt>
                <c:pt idx="2">
                  <c:v>5885</c:v>
                </c:pt>
                <c:pt idx="3">
                  <c:v>5885</c:v>
                </c:pt>
                <c:pt idx="4">
                  <c:v>5351</c:v>
                </c:pt>
                <c:pt idx="5">
                  <c:v>5781</c:v>
                </c:pt>
                <c:pt idx="6">
                  <c:v>5519</c:v>
                </c:pt>
              </c:numCache>
            </c:numRef>
          </c:val>
        </c:ser>
        <c:ser>
          <c:idx val="1"/>
          <c:order val="1"/>
          <c:tx>
            <c:v>неудовлетворительно</c:v>
          </c:tx>
          <c:spPr bwMode="auto">
            <a:prstGeom prst="rect">
              <a:avLst/>
            </a:prstGeom>
            <a:solidFill>
              <a:srgbClr val="00B0F0"/>
            </a:solidFill>
            <a:ln w="9525" cap="flat" cmpd="sng" algn="ctr">
              <a:solidFill>
                <a:schemeClr val="tx1"/>
              </a:solidFill>
              <a:prstDash val="solid"/>
              <a:round/>
            </a:ln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 xml:space="preserve">'Лист1 (2)'!$C$1:$C$7</c:f>
              <c:strCache>
                <c:ptCount val="7"/>
                <c:pt idx="0">
                  <c:v xml:space="preserve">портал инспекции ФНС</c:v>
                </c:pt>
                <c:pt idx="1">
                  <c:v xml:space="preserve">портал госуслуг</c:v>
                </c:pt>
                <c:pt idx="2">
                  <c:v xml:space="preserve">портал МФЦ</c:v>
                </c:pt>
                <c:pt idx="3">
                  <c:v>интернет-банкинг</c:v>
                </c:pt>
                <c:pt idx="4">
                  <c:v xml:space="preserve">инвестпортал КК</c:v>
                </c:pt>
                <c:pt idx="5">
                  <c:v>онлайн-торговля</c:v>
                </c:pt>
                <c:pt idx="6">
                  <c:v xml:space="preserve">информпорталы ОИВ КК</c:v>
                </c:pt>
              </c:strCache>
            </c:strRef>
          </c:cat>
          <c:val>
            <c:numRef>
              <c:f xml:space="preserve">'Лист1 (2)'!$B$1:$B$7</c:f>
              <c:numCache>
                <c:formatCode>General</c:formatCode>
                <c:ptCount val="7"/>
                <c:pt idx="0">
                  <c:v>5274</c:v>
                </c:pt>
                <c:pt idx="1">
                  <c:v>5170</c:v>
                </c:pt>
                <c:pt idx="2">
                  <c:v>5350</c:v>
                </c:pt>
                <c:pt idx="3">
                  <c:v>5141</c:v>
                </c:pt>
                <c:pt idx="4">
                  <c:v>5237</c:v>
                </c:pt>
                <c:pt idx="5">
                  <c:v>5228</c:v>
                </c:pt>
                <c:pt idx="6">
                  <c:v>5199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gapWidth val="150"/>
        <c:axId val="2140841527"/>
        <c:axId val="2140841528"/>
      </c:bar3DChart>
      <c:catAx>
        <c:axId val="21408415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 b="0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528"/>
        <c:crosses val="autoZero"/>
        <c:auto val="1"/>
        <c:lblAlgn val="ctr"/>
        <c:lblOffset val="100"/>
        <c:tickMarkSkip val="1"/>
        <c:noMultiLvlLbl val="0"/>
      </c:catAx>
      <c:valAx>
        <c:axId val="214084152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0%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1000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527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>
        <c:manualLayout>
          <c:xMode val="edge"/>
          <c:yMode val="edge"/>
          <c:x val="0.117120"/>
          <c:y val="0.927900"/>
          <c:w val="0.602800"/>
          <c:h val="0.04465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>
              <a:solidFill>
                <a:srgbClr val="000000"/>
              </a:solidFill>
              <a:latin typeface="Tinos"/>
              <a:ea typeface="Tinos"/>
              <a:cs typeface="Tino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6115048" cy="2282984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900">
          <a:solidFill>
            <a:schemeClr val="dk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328920"/>
          <c:y val="0.031950"/>
          <c:w val="0.647320"/>
          <c:h val="0.741420"/>
        </c:manualLayout>
      </c:layout>
      <c:bar3DChart>
        <c:barDir val="bar"/>
        <c:grouping val="percentStacked"/>
        <c:varyColors val="0"/>
        <c:ser>
          <c:idx val="0"/>
          <c:order val="0"/>
          <c:tx>
            <c:v>удовлетворительно</c:v>
          </c:tx>
          <c:spPr bwMode="auto">
            <a:prstGeom prst="rect">
              <a:avLst/>
            </a:prstGeom>
            <a:solidFill>
              <a:srgbClr val="FFFF00"/>
            </a:solidFill>
            <a:ln w="12699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Лист1!$C$1:$C$5</c:f>
              <c:strCache>
                <c:ptCount val="5"/>
                <c:pt idx="0">
                  <c:v xml:space="preserve"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 xml:space="preserve">телефонная связь</c:v>
                </c:pt>
              </c:strCache>
            </c:strRef>
          </c:cat>
          <c:val>
            <c:numRef>
              <c:f>Лист1!$A$1:$A$5</c:f>
              <c:numCache>
                <c:formatCode>General</c:formatCode>
                <c:ptCount val="5"/>
                <c:pt idx="0">
                  <c:v>3751</c:v>
                </c:pt>
                <c:pt idx="1">
                  <c:v>3729</c:v>
                </c:pt>
                <c:pt idx="2">
                  <c:v>3729</c:v>
                </c:pt>
                <c:pt idx="3">
                  <c:v>3736</c:v>
                </c:pt>
                <c:pt idx="4">
                  <c:v>3772</c:v>
                </c:pt>
              </c:numCache>
            </c:numRef>
          </c:val>
        </c:ser>
        <c:ser>
          <c:idx val="1"/>
          <c:order val="1"/>
          <c:tx>
            <c:v xml:space="preserve">не удовлетворительно</c:v>
          </c:tx>
          <c:spPr bwMode="auto">
            <a:prstGeom prst="rect">
              <a:avLst/>
            </a:prstGeom>
            <a:solidFill>
              <a:srgbClr val="C00000"/>
            </a:solidFill>
            <a:ln w="12699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Лист1!$C$1:$C$5</c:f>
              <c:strCache>
                <c:ptCount val="5"/>
                <c:pt idx="0">
                  <c:v xml:space="preserve">водоснабжение, водоотведение</c:v>
                </c:pt>
                <c:pt idx="1">
                  <c:v>газоснабжение</c:v>
                </c:pt>
                <c:pt idx="2">
                  <c:v>электроснабжение</c:v>
                </c:pt>
                <c:pt idx="3">
                  <c:v>теплоснабжение</c:v>
                </c:pt>
                <c:pt idx="4">
                  <c:v xml:space="preserve">телефонная связь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1753</c:v>
                </c:pt>
                <c:pt idx="1">
                  <c:v>1772</c:v>
                </c:pt>
                <c:pt idx="2">
                  <c:v>1872</c:v>
                </c:pt>
                <c:pt idx="3">
                  <c:v>1766</c:v>
                </c:pt>
                <c:pt idx="4">
                  <c:v>1723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gapWidth val="150"/>
        <c:axId val="2140841539"/>
        <c:axId val="2140841540"/>
      </c:bar3DChart>
      <c:catAx>
        <c:axId val="214084153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1000">
                <a:solidFill>
                  <a:srgbClr val="000000"/>
                </a:solidFill>
                <a:latin typeface="Tinos"/>
                <a:ea typeface="Tinos"/>
                <a:cs typeface="Tinos"/>
              </a:defRPr>
            </a:pPr>
            <a:endParaRPr/>
          </a:p>
        </c:txPr>
        <c:crossAx val="2140841540"/>
        <c:crosses val="autoZero"/>
        <c:auto val="1"/>
        <c:lblAlgn val="ctr"/>
        <c:lblOffset val="100"/>
        <c:tickMarkSkip val="1"/>
        <c:noMultiLvlLbl val="0"/>
      </c:catAx>
      <c:valAx>
        <c:axId val="2140841540"/>
        <c:scaling>
          <c:orientation val="minMax"/>
        </c:scaling>
        <c:delete val="0"/>
        <c:axPos val="b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0%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1000" b="1">
                <a:solidFill>
                  <a:srgbClr val="000000"/>
                </a:solidFill>
                <a:latin typeface="Calibri"/>
                <a:ea typeface="Arial"/>
                <a:cs typeface="Arial"/>
              </a:defRPr>
            </a:pPr>
            <a:endParaRPr/>
          </a:p>
        </c:txPr>
        <c:crossAx val="2140841539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>
        <c:manualLayout>
          <c:xMode val="edge"/>
          <c:yMode val="edge"/>
          <c:x val="0.163690"/>
          <c:y val="0.888080"/>
          <c:w val="0.654250"/>
          <c:h val="0.08146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>
              <a:solidFill>
                <a:srgbClr val="000000"/>
              </a:solidFill>
              <a:latin typeface="Tinos"/>
              <a:ea typeface="Tinos"/>
              <a:cs typeface="Tino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6120129" cy="2071339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1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1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1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1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/>
  </cs:axisTitle>
  <cs:categoryAxis>
    <cs:lnRef idx="0"/>
    <cs:fillRef idx="0"/>
    <cs:effectRef idx="0"/>
    <cs:fontRef idx="minor">
      <a:schemeClr val="tx2"/>
    </cs:fontRef>
    <cs:spPr bwMode="auto">
      <a:prstGeom prst="rect">
        <a:avLst/>
      </a:prstGeom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2"/>
    </cs:fontRef>
    <cs:defRPr sz="900"/>
  </cs:dataLabel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 bwMode="auto">
      <a:prstGeom prst="rect">
        <a:avLst/>
      </a:prstGeom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 bwMode="auto">
      <a:prstGeom prst="rect">
        <a:avLst/>
      </a:prstGeom>
      <a:ln w="12700">
        <a:solidFill>
          <a:schemeClr val="lt2"/>
        </a:solidFill>
        <a:round/>
      </a:ln>
    </cs:spPr>
  </cs:dataPointMarker>
  <cs:dataPointWireframe>
    <cs:lnRef idx="0">
      <cs:styleClr val="auto"/>
    </cs:lnRef>
    <cs:fillRef idx="3"/>
    <cs:effectRef idx="2"/>
    <cs:fontRef idx="minor">
      <a:schemeClr val="tx2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 bwMode="auto">
      <a:prstGeom prst="rect">
        <a:avLst/>
      </a:prstGeom>
      <a:ln w="9525">
        <a:solidFill>
          <a:schemeClr val="tx2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 bwMode="auto">
      <a:prstGeom prst="rect">
        <a:avLst/>
      </a:prstGeom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 bwMode="auto">
      <a:prstGeom prst="rect">
        <a:avLst/>
      </a:prstGeom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 bwMode="auto">
      <a:prstGeom prst="rect">
        <a:avLst/>
      </a:prstGeom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 bwMode="auto">
      <a:prstGeom prst="rect">
        <a:avLst/>
      </a:prstGeom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 bwMode="auto">
      <a:prstGeom prst="rect">
        <a:avLst/>
      </a:prstGeom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 bwMode="auto">
      <a:prstGeom prst="rect">
        <a:avLst/>
      </a:prstGeom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 bwMode="auto">
      <a:prstGeom prst="rect">
        <a:avLst/>
      </a:prstGeom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2"/>
    </cs:fontRef>
    <cs:spPr bwMode="auto">
      <a:prstGeom prst="rect">
        <a:avLst/>
      </a:prstGeom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/>
  </cs:title>
  <cs:trendline>
    <cs:lnRef idx="0">
      <cs:styleClr val="auto"/>
    </cs:lnRef>
    <cs:fillRef idx="0"/>
    <cs:effectRef idx="0"/>
    <cs:fontRef idx="minor">
      <a:schemeClr val="tx2"/>
    </cs:fontRef>
    <cs:spPr bwMode="auto">
      <a:prstGeom prst="rect">
        <a:avLst/>
      </a:prstGeom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/>
  </cs:trendlineLabel>
  <cs:upBar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/>
  </cs:valueAxis>
  <cs:wall>
    <cs:lnRef idx="0"/>
    <cs:fillRef idx="0"/>
    <cs:effectRef idx="0"/>
    <cs:fontRef idx="minor">
      <a:schemeClr val="tx2"/>
    </cs:fontRef>
  </cs:wall>
  <cs:dataPointMarkerLayout symbol="circle" size="6"/>
</cs:chartStyle>
</file>

<file path=word/charts/style15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cap="none" spc="0"/>
  </cs:categoryAxis>
  <cs:chartArea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solidFill>
        <a:schemeClr val="phClr"/>
      </a:solidFill>
    </cs:spPr>
  </cs:dataPointMarker>
  <cs:dataPointWirefram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cap="none" spc="0"/>
  </cs:title>
  <cs:trendlin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  <a:miter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dk1"/>
    </cs:fontRef>
  </cs:wall>
  <cs:dataPointMarkerLayout symbol="circle" size="8"/>
</cs:chartStyle>
</file>

<file path=word/charts/style16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/>
  </cs:categoryAxis>
  <cs:chartArea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/>
  </cs:dataLabel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Wireframe>
    <cs:lnRef idx="0">
      <cs:styleClr val="auto"/>
    </cs:lnRef>
    <cs:fillRef idx="2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 bwMode="auto">
      <a:prstGeom prst="rect">
        <a:avLst/>
      </a:prstGeom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 bwMode="auto">
      <a:prstGeom prst="rect">
        <a:avLst/>
      </a:prstGeom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/>
  </cs:seriesAxis>
  <cs:series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cap="none" spc="18"/>
  </cs:title>
  <cs:trendline>
    <cs:lnRef idx="0">
      <cs:styleClr val="auto"/>
    </cs:lnRef>
    <cs:fillRef idx="2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/>
  </cs:valueAxis>
  <cs:wall>
    <cs:lnRef idx="0"/>
    <cs:fillRef idx="0"/>
    <cs:effectRef idx="0"/>
    <cs:fontRef idx="minor">
      <a:schemeClr val="dk1"/>
    </cs:fontRef>
  </cs:wall>
  <cs:dataPointMarkerLayout symbol="circle" size="4"/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4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/>
  </cs:categoryAxis>
  <cs:chartArea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/>
  </cs:dataLabel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Wireframe>
    <cs:lnRef idx="0">
      <cs:styleClr val="auto"/>
    </cs:lnRef>
    <cs:fillRef idx="2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 bwMode="auto">
      <a:prstGeom prst="rect">
        <a:avLst/>
      </a:prstGeom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 bwMode="auto">
      <a:prstGeom prst="rect">
        <a:avLst/>
      </a:prstGeom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/>
  </cs:seriesAxis>
  <cs:series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cap="none" spc="19"/>
  </cs:title>
  <cs:trendline>
    <cs:lnRef idx="0">
      <cs:styleClr val="auto"/>
    </cs:lnRef>
    <cs:fillRef idx="2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/>
  </cs:valueAxis>
  <cs:wall>
    <cs:lnRef idx="0"/>
    <cs:fillRef idx="0"/>
    <cs:effectRef idx="0"/>
    <cs:fontRef idx="minor">
      <a:schemeClr val="dk1"/>
    </cs:fontRef>
  </cs:wall>
  <cs:dataPointMarkerLayout symbol="circle" size="4"/>
</cs:chartStyle>
</file>

<file path=word/charts/style5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/>
  </cs:categoryAxis>
  <cs:chartArea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/>
  </cs:dataLabel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Wireframe>
    <cs:lnRef idx="0">
      <cs:styleClr val="auto"/>
    </cs:lnRef>
    <cs:fillRef idx="2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 bwMode="auto">
      <a:prstGeom prst="rect">
        <a:avLst/>
      </a:prstGeom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 bwMode="auto">
      <a:prstGeom prst="rect">
        <a:avLst/>
      </a:prstGeom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/>
  </cs:seriesAxis>
  <cs:series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cap="none" spc="19"/>
  </cs:title>
  <cs:trendline>
    <cs:lnRef idx="0">
      <cs:styleClr val="auto"/>
    </cs:lnRef>
    <cs:fillRef idx="2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/>
  </cs:valueAxis>
  <cs:wall>
    <cs:lnRef idx="0"/>
    <cs:fillRef idx="0"/>
    <cs:effectRef idx="0"/>
    <cs:fontRef idx="minor">
      <a:schemeClr val="dk1"/>
    </cs:fontRef>
  </cs:wall>
  <cs:dataPointMarkerLayout symbol="circle" size="4"/>
</cs:chartStyle>
</file>

<file path=word/charts/style6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/>
  </cs:categoryAxis>
  <cs:chartArea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/>
  </cs:dataLabel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Wireframe>
    <cs:lnRef idx="0">
      <cs:styleClr val="auto"/>
    </cs:lnRef>
    <cs:fillRef idx="2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 bwMode="auto">
      <a:prstGeom prst="rect">
        <a:avLst/>
      </a:prstGeom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 bwMode="auto">
      <a:prstGeom prst="rect">
        <a:avLst/>
      </a:prstGeom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/>
  </cs:seriesAxis>
  <cs:series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cap="none" spc="19"/>
  </cs:title>
  <cs:trendline>
    <cs:lnRef idx="0">
      <cs:styleClr val="auto"/>
    </cs:lnRef>
    <cs:fillRef idx="2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/>
  </cs:valueAxis>
  <cs:wall>
    <cs:lnRef idx="0"/>
    <cs:fillRef idx="0"/>
    <cs:effectRef idx="0"/>
    <cs:fontRef idx="minor">
      <a:schemeClr val="dk1"/>
    </cs:fontRef>
  </cs:wall>
  <cs:dataPointMarkerLayout symbol="circle" size="4"/>
</cs:chartStyle>
</file>

<file path=word/charts/style7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/>
  </cs:categoryAxis>
  <cs:chartArea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/>
  </cs:dataLabel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Wireframe>
    <cs:lnRef idx="0">
      <cs:styleClr val="auto"/>
    </cs:lnRef>
    <cs:fillRef idx="2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 bwMode="auto">
      <a:prstGeom prst="rect">
        <a:avLst/>
      </a:prstGeom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 bwMode="auto">
      <a:prstGeom prst="rect">
        <a:avLst/>
      </a:prstGeom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/>
  </cs:seriesAxis>
  <cs:series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cap="none" spc="19"/>
  </cs:title>
  <cs:trendline>
    <cs:lnRef idx="0">
      <cs:styleClr val="auto"/>
    </cs:lnRef>
    <cs:fillRef idx="2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/>
  </cs:valueAxis>
  <cs:wall>
    <cs:lnRef idx="0"/>
    <cs:fillRef idx="0"/>
    <cs:effectRef idx="0"/>
    <cs:fontRef idx="minor">
      <a:schemeClr val="dk1"/>
    </cs:fontRef>
  </cs:wall>
  <cs:dataPointMarkerLayout symbol="circle" size="4"/>
</cs:chartStyle>
</file>

<file path=word/charts/style8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/>
  </cs:categoryAxis>
  <cs:chartArea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/>
  </cs:dataLabel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Wireframe>
    <cs:lnRef idx="0">
      <cs:styleClr val="auto"/>
    </cs:lnRef>
    <cs:fillRef idx="2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 bwMode="auto">
      <a:prstGeom prst="rect">
        <a:avLst/>
      </a:prstGeom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 bwMode="auto">
      <a:prstGeom prst="rect">
        <a:avLst/>
      </a:prstGeom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/>
  </cs:seriesAxis>
  <cs:series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cap="none" spc="19"/>
  </cs:title>
  <cs:trendline>
    <cs:lnRef idx="0">
      <cs:styleClr val="auto"/>
    </cs:lnRef>
    <cs:fillRef idx="2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/>
  </cs:valueAxis>
  <cs:wall>
    <cs:lnRef idx="0"/>
    <cs:fillRef idx="0"/>
    <cs:effectRef idx="0"/>
    <cs:fontRef idx="minor">
      <a:schemeClr val="dk1"/>
    </cs:fontRef>
  </cs:wall>
  <cs:dataPointMarkerLayout symbol="circle" size="4"/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drawings/_rels/.rels><?xml version="1.0" encoding="UTF-8" standalone="yes"?><Relationships xmlns="http://schemas.openxmlformats.org/package/2006/relationships"></Relationships>
</file>

<file path=word/drawings/drawing1.xml><?xml version="1.0" encoding="utf-8"?>
<c:userShapes xmlns:c="http://schemas.openxmlformats.org/drawingml/2006/chart" xmlns:cdr="http://schemas.openxmlformats.org/drawingml/2006/chartDrawing" xmlns:a="http://schemas.openxmlformats.org/drawingml/2006/main" xmlns:r="http://schemas.openxmlformats.org/officeDocument/2006/relationships">
  <cdr:relSizeAnchor>
    <cdr:from>
      <cdr:x>0.021559999999999999</cdr:x>
      <cdr:y>0.055879999999999999</cdr:y>
    </cdr:from>
    <cdr:to>
      <cdr:x>0.056750000000000002</cdr:x>
      <cdr:y>0.28211000000000003</cdr:y>
    </cdr:to>
    <cdr:sp>
      <cdr:nvSpPr>
        <cdr:cNvPr id="0" name="Надпись 2"/>
        <cdr:cNvSpPr/>
      </cdr:nvSpPr>
      <cdr:spPr bwMode="auto">
        <a:xfrm>
          <a:off x="0" y="0"/>
          <a:ext cx="202680" cy="73296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</cdr:sp>
  </cdr:relSizeAnchor>
</c:userShape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Игнатенко М.В.</dc:creator>
  <dc:description/>
  <dc:language>ru-RU</dc:language>
  <cp:lastModifiedBy>mignat</cp:lastModifiedBy>
  <cp:revision>503</cp:revision>
  <dcterms:modified xsi:type="dcterms:W3CDTF">2026-01-29T13:26:31Z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