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background1" w:val="FFFFFF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background1" w:val="FFFFFF"/>
          <w:spacing w:val="-6"/>
          <w:sz w:val="28"/>
          <w:szCs w:val="28"/>
          <w:lang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Порядка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ознакомления пользователей информацией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с информацией о деятельности администрации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муниципального образования город Краснодар,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находящейся в архивных фондах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частью 3 статьи 17 Федерального закона от 09.02.2009 № 8-ФЗ «Об обеспечении доступа к информации о деятельности государственных органов и органов местного самоуправления», частью 1 статьи 4 Закона Краснодарско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го края от 16.07.2010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Положением о порядке организации доступа к информации о деятельности администрации муниципального образования город Краснодар, утверждённым постановлением администрации муниципального образования город Краснодар от 07.10.2011 № 7373 «Об утверждении Положения о порядке организации доступа к информации о деятельности администрации муниципального образования город Краснодар», п о с т а н о в л я ю:</w:t>
      </w:r>
    </w:p>
    <w:p>
      <w:pPr>
        <w:pStyle w:val="ConsPlusTitle"/>
        <w:ind w:firstLine="709"/>
        <w:jc w:val="both"/>
        <w:rPr>
          <w:rFonts w:ascii="Times New Roman" w:hAnsi="Times New Roman" w:eastAsia="Microsoft Sans Serif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Утвердить Порядок ознакомления пользователей информацией с информацией о деятельности администрации муниципального образования город Краснодар, находящейся в архивных фондах</w:t>
      </w:r>
      <w:r>
        <w:rPr>
          <w:rFonts w:eastAsia="Microsoft Sans Serif" w:cs="Times New Roman" w:ascii="Times New Roman" w:hAnsi="Times New Roman"/>
          <w:b w:val="false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val="FFFFFF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</w:rPr>
        <w:t>Департаменту информационной политики администрации муници-пального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В.В.Косенко.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полномочия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 xml:space="preserve">лава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город Краснодар </w:t>
        <w:tab/>
        <w:tab/>
        <w:tab/>
        <w:tab/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Д.Ю.Васильев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ЛИСТ СОГЛАСОВАНИЯ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0"/>
        </w:rPr>
        <w:t xml:space="preserve">проекта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постановления администрации муниципального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-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город Краснодар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«Об утверждении </w:t>
      </w:r>
      <w:r>
        <w:rPr>
          <w:rFonts w:eastAsia="Microsoft Sans Serif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Порядка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-6"/>
          <w:sz w:val="28"/>
          <w:szCs w:val="28"/>
        </w:rPr>
      </w:pPr>
      <w:r>
        <w:rPr>
          <w:rFonts w:eastAsia="Microsoft Sans Serif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ознакомления пользователей информацией с информацией 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-6"/>
          <w:sz w:val="28"/>
          <w:szCs w:val="28"/>
        </w:rPr>
      </w:pPr>
      <w:r>
        <w:rPr>
          <w:rFonts w:eastAsia="Microsoft Sans Serif"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деятельности администрации муниципального образования город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-6"/>
          <w:sz w:val="28"/>
          <w:szCs w:val="28"/>
        </w:rPr>
      </w:pPr>
      <w:r>
        <w:rPr>
          <w:rFonts w:eastAsia="Microsoft Sans Serif" w:cs="Times New Roman" w:ascii="Times New Roman" w:hAnsi="Times New Roman"/>
          <w:color w:val="000000"/>
          <w:spacing w:val="-6"/>
          <w:sz w:val="28"/>
          <w:szCs w:val="28"/>
          <w:lang w:eastAsia="ru-RU"/>
        </w:rPr>
        <w:t>Краснодар, находящейся в архивных фондах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327" w:type="dxa"/>
        <w:jc w:val="left"/>
        <w:tblInd w:w="-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626"/>
        <w:gridCol w:w="2700"/>
      </w:tblGrid>
      <w:tr>
        <w:trPr/>
        <w:tc>
          <w:tcPr>
            <w:tcW w:w="762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Проект внесён: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Заместителем главы муниципального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образования город Краснодар,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управляющим делами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город Краснодар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В.В.Косенко</w:t>
            </w:r>
          </w:p>
        </w:tc>
      </w:tr>
      <w:tr>
        <w:trPr/>
        <w:tc>
          <w:tcPr>
            <w:tcW w:w="7626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Составитель проекта: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5580" w:leader="none"/>
                <w:tab w:val="left" w:pos="73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Начальник архивного </w:t>
              <w:br/>
              <w:t>отдела управления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5580" w:leader="none"/>
                <w:tab w:val="left" w:pos="73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делами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</w:rPr>
              <w:t>администрации</w:t>
            </w:r>
          </w:p>
        </w:tc>
        <w:tc>
          <w:tcPr>
            <w:tcW w:w="2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Е.В.Коваленко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pPr w:vertAnchor="text" w:horzAnchor="text" w:tblpXSpec="right" w:leftFromText="180" w:rightFromText="180" w:tblpY="1"/>
        <w:tblOverlap w:val="never"/>
        <w:tblW w:w="986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601"/>
        <w:gridCol w:w="2261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5760" w:leader="none"/>
                <w:tab w:val="left" w:pos="774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Проект согласован:</w:t>
            </w:r>
          </w:p>
          <w:p>
            <w:pPr>
              <w:pStyle w:val="Normal"/>
              <w:tabs>
                <w:tab w:val="clear" w:pos="709"/>
                <w:tab w:val="left" w:pos="751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Заместитель главы муниципального</w:t>
            </w:r>
          </w:p>
          <w:p>
            <w:pPr>
              <w:pStyle w:val="Normal"/>
              <w:tabs>
                <w:tab w:val="clear" w:pos="709"/>
                <w:tab w:val="left" w:pos="751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образования город Краснодар                                                          И.К.Павлов</w:t>
            </w:r>
          </w:p>
        </w:tc>
      </w:tr>
      <w:tr>
        <w:trPr/>
        <w:tc>
          <w:tcPr>
            <w:tcW w:w="7601" w:type="dxa"/>
            <w:tcBorders/>
          </w:tcPr>
          <w:p>
            <w:pPr>
              <w:pStyle w:val="Normal"/>
              <w:tabs>
                <w:tab w:val="clear" w:pos="709"/>
                <w:tab w:val="left" w:pos="737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pacing w:val="-6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09"/>
                <w:tab w:val="left" w:pos="737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pacing w:val="-6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6"/>
                <w:szCs w:val="26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01" w:type="dxa"/>
            <w:tcBorders/>
          </w:tcPr>
          <w:p>
            <w:pPr>
              <w:pStyle w:val="Normal"/>
              <w:tabs>
                <w:tab w:val="clear" w:pos="709"/>
                <w:tab w:val="left" w:pos="5580" w:leader="none"/>
                <w:tab w:val="left" w:pos="72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Директор</w:t>
            </w: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 xml:space="preserve"> правового департамента</w:t>
            </w:r>
          </w:p>
          <w:p>
            <w:pPr>
              <w:pStyle w:val="Normal"/>
              <w:tabs>
                <w:tab w:val="clear" w:pos="709"/>
                <w:tab w:val="left" w:pos="737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>администрации муниципального</w:t>
            </w:r>
          </w:p>
          <w:p>
            <w:pPr>
              <w:pStyle w:val="Normal"/>
              <w:tabs>
                <w:tab w:val="clear" w:pos="709"/>
                <w:tab w:val="left" w:pos="737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pacing w:val="-6"/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А.М.Смирнов</w:t>
            </w:r>
          </w:p>
        </w:tc>
      </w:tr>
      <w:tr>
        <w:trPr/>
        <w:tc>
          <w:tcPr>
            <w:tcW w:w="7601" w:type="dxa"/>
            <w:tcBorders/>
          </w:tcPr>
          <w:p>
            <w:pPr>
              <w:pStyle w:val="Normal"/>
              <w:tabs>
                <w:tab w:val="clear" w:pos="709"/>
                <w:tab w:val="left" w:pos="7515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01" w:type="dxa"/>
            <w:tcBorders/>
          </w:tcPr>
          <w:p>
            <w:pPr>
              <w:pStyle w:val="Normal"/>
              <w:tabs>
                <w:tab w:val="clear" w:pos="709"/>
                <w:tab w:val="left" w:pos="7515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30" w:hRule="atLeast"/>
        </w:trPr>
        <w:tc>
          <w:tcPr>
            <w:tcW w:w="7601" w:type="dxa"/>
            <w:tcBorders/>
          </w:tcPr>
          <w:p>
            <w:pPr>
              <w:pStyle w:val="Normal"/>
              <w:tabs>
                <w:tab w:val="clear" w:pos="709"/>
                <w:tab w:val="left" w:pos="5580" w:leader="none"/>
                <w:tab w:val="left" w:pos="72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142" w:left="-851" w:right="227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0"/>
        <w:ind w:firstLine="709" w:left="-851" w:right="22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ind w:firstLine="709" w:left="-851" w:right="22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ind w:firstLine="850" w:left="-283" w:right="22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0" w:left="-283" w:right="22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0" w:left="-283" w:right="22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0" w:left="-283" w:right="22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Проект подготовлен в соответствии с Инструкцией по делопроизводству в  администрации муниципального образования город Краснодар</w:t>
      </w:r>
    </w:p>
    <w:p>
      <w:pPr>
        <w:pStyle w:val="Normal"/>
        <w:tabs>
          <w:tab w:val="clear" w:pos="709"/>
          <w:tab w:val="left" w:pos="8505" w:leader="none"/>
          <w:tab w:val="left" w:pos="8647" w:leader="none"/>
        </w:tabs>
        <w:spacing w:lineRule="auto" w:line="240" w:before="0" w:after="0"/>
        <w:ind w:hanging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2977" w:leader="none"/>
        </w:tabs>
        <w:spacing w:lineRule="auto" w:line="240" w:before="0" w:after="0"/>
        <w:ind w:hanging="3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Заместитель начальника общего </w:t>
      </w:r>
    </w:p>
    <w:p>
      <w:pPr>
        <w:pStyle w:val="Normal"/>
        <w:tabs>
          <w:tab w:val="clear" w:pos="709"/>
          <w:tab w:val="left" w:pos="2977" w:leader="none"/>
        </w:tabs>
        <w:spacing w:lineRule="auto" w:line="240" w:before="0" w:after="0"/>
        <w:ind w:hanging="737" w:left="39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отдела управления делами </w:t>
      </w:r>
    </w:p>
    <w:p>
      <w:pPr>
        <w:pStyle w:val="Normal"/>
        <w:tabs>
          <w:tab w:val="clear" w:pos="709"/>
          <w:tab w:val="left" w:pos="2977" w:leader="none"/>
        </w:tabs>
        <w:spacing w:lineRule="auto" w:line="240" w:before="0" w:after="0"/>
        <w:ind w:hanging="737" w:left="39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Normal"/>
        <w:tabs>
          <w:tab w:val="clear" w:pos="709"/>
          <w:tab w:val="left" w:pos="2977" w:leader="none"/>
        </w:tabs>
        <w:spacing w:lineRule="auto" w:line="240" w:before="0" w:after="0"/>
        <w:ind w:hanging="737" w:left="39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образования  город Краснодар</w:t>
        <w:tab/>
        <w:t xml:space="preserve">                                                         А.А.Садовникова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0" w:top="709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779382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bookmarkStart w:id="1" w:name="PageNumWizard_HEADER_Базовый2"/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4</w:t>
    </w:r>
    <w:r>
      <w:rPr>
        <w:sz w:val="28"/>
        <w:szCs w:val="28"/>
        <w:rFonts w:cs="Times New Roman" w:ascii="Times New Roman" w:hAnsi="Times New Roman"/>
      </w:rPr>
      <w:fldChar w:fldCharType="end"/>
    </w:r>
    <w:bookmarkEnd w:id="1"/>
  </w:p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5727097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2"/>
    <w:uiPriority w:val="9"/>
    <w:qFormat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Times New Roman" w:cs="Times New Roman"/>
      <w:b/>
      <w:color w:val="26282F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Style15" w:customStyle="1">
    <w:name w:val="Основной текст Знак"/>
    <w:basedOn w:val="DefaultParagraphFont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ylfaen" w:customStyle="1">
    <w:name w:val="Основной текст + Sylfaen"/>
    <w:basedOn w:val="Style15"/>
    <w:qFormat/>
    <w:rPr>
      <w:rFonts w:ascii="Sylfaen" w:hAnsi="Sylfaen" w:cs="Sylfaen"/>
      <w:b/>
      <w:bCs/>
      <w:sz w:val="28"/>
      <w:szCs w:val="28"/>
      <w:shd w:fill="FFFFFF" w:val="clear"/>
    </w:rPr>
  </w:style>
  <w:style w:type="character" w:styleId="1" w:customStyle="1">
    <w:name w:val="Заголовок №1_"/>
    <w:basedOn w:val="DefaultParagraphFont"/>
    <w:link w:val="13"/>
    <w:qFormat/>
    <w:rPr>
      <w:rFonts w:ascii="Times New Roman" w:hAnsi="Times New Roman" w:cs="Times New Roman"/>
      <w:b/>
      <w:bCs/>
      <w:spacing w:val="60"/>
      <w:sz w:val="35"/>
      <w:szCs w:val="35"/>
      <w:shd w:fill="FFFFFF" w:val="clear"/>
    </w:rPr>
  </w:style>
  <w:style w:type="character" w:styleId="1Sylfaen" w:customStyle="1">
    <w:name w:val="Заголовок №1 + Sylfaen"/>
    <w:basedOn w:val="1"/>
    <w:qFormat/>
    <w:rPr>
      <w:rFonts w:ascii="Sylfaen" w:hAnsi="Sylfaen" w:cs="Sylfaen"/>
      <w:b/>
      <w:bCs/>
      <w:spacing w:val="50"/>
      <w:sz w:val="35"/>
      <w:szCs w:val="35"/>
      <w:shd w:fill="FFFFFF" w:val="clear"/>
    </w:rPr>
  </w:style>
  <w:style w:type="character" w:styleId="31" w:customStyle="1">
    <w:name w:val="Основной текст (3)_"/>
    <w:basedOn w:val="DefaultParagraphFont"/>
    <w:link w:val="32"/>
    <w:qFormat/>
    <w:rPr>
      <w:rFonts w:ascii="Times New Roman" w:hAnsi="Times New Roman" w:cs="Times New Roman"/>
      <w:sz w:val="20"/>
      <w:szCs w:val="20"/>
      <w:shd w:fill="FFFFFF" w:val="clear"/>
    </w:rPr>
  </w:style>
  <w:style w:type="character" w:styleId="3Sylfaen" w:customStyle="1">
    <w:name w:val="Основной текст (3) + Sylfaen"/>
    <w:basedOn w:val="31"/>
    <w:qFormat/>
    <w:rPr>
      <w:rFonts w:ascii="Sylfaen" w:hAnsi="Sylfaen" w:cs="Sylfaen"/>
      <w:sz w:val="20"/>
      <w:szCs w:val="20"/>
      <w:shd w:fill="FFFFFF" w:val="clear"/>
    </w:rPr>
  </w:style>
  <w:style w:type="character" w:styleId="22" w:customStyle="1">
    <w:name w:val="Основной текст (2)_"/>
    <w:basedOn w:val="DefaultParagraphFont"/>
    <w:qFormat/>
    <w:rPr>
      <w:rFonts w:ascii="Times New Roman" w:hAnsi="Times New Roman" w:cs="Times New Roman"/>
      <w:sz w:val="27"/>
      <w:szCs w:val="27"/>
      <w:shd w:fill="FFFFFF" w:val="clear"/>
    </w:rPr>
  </w:style>
  <w:style w:type="character" w:styleId="2Sylfaen" w:customStyle="1">
    <w:name w:val="Основной текст (2) + Sylfaen"/>
    <w:basedOn w:val="22"/>
    <w:qFormat/>
    <w:rPr>
      <w:rFonts w:ascii="Sylfaen" w:hAnsi="Sylfaen" w:cs="Sylfaen"/>
      <w:sz w:val="27"/>
      <w:szCs w:val="27"/>
      <w:shd w:fill="FFFFFF" w:val="clear"/>
    </w:rPr>
  </w:style>
  <w:style w:type="character" w:styleId="11" w:customStyle="1">
    <w:name w:val="Основной текст Знак1"/>
    <w:basedOn w:val="DefaultParagraphFont"/>
    <w:uiPriority w:val="99"/>
    <w:semiHidden/>
    <w:qFormat/>
    <w:rPr/>
  </w:style>
  <w:style w:type="character" w:styleId="12" w:customStyle="1">
    <w:name w:val="Заголовок 1 Знак"/>
    <w:basedOn w:val="DefaultParagraphFont"/>
    <w:qFormat/>
    <w:rPr>
      <w:rFonts w:ascii="Times New Roman CYR" w:hAnsi="Times New Roman CYR" w:eastAsia="Times New Roman" w:cs="Times New Roman"/>
      <w:b/>
      <w:color w:val="26282F"/>
      <w:sz w:val="24"/>
      <w:szCs w:val="20"/>
      <w:lang w:eastAsia="ru-RU"/>
    </w:rPr>
  </w:style>
  <w:style w:type="character" w:styleId="Style16" w:customStyle="1">
    <w:name w:val="Обычный (веб) Знак"/>
    <w:basedOn w:val="DefaultParagraphFont"/>
    <w:link w:val="NormalWeb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pPr>
      <w:shd w:val="clear" w:color="auto" w:fill="FFFFFF"/>
      <w:spacing w:lineRule="exact" w:line="322" w:before="0" w:after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 w:customStyle="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cstheme="minorBidi"/>
      <w:b/>
      <w:color w:val="auto"/>
      <w:kern w:val="0"/>
      <w:sz w:val="20"/>
      <w:szCs w:val="22"/>
      <w:lang w:val="ru-RU" w:eastAsia="ru-RU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Заголовок №1"/>
    <w:basedOn w:val="Normal"/>
    <w:link w:val="1"/>
    <w:qFormat/>
    <w:pPr>
      <w:shd w:val="clear" w:color="auto" w:fill="FFFFFF"/>
      <w:spacing w:lineRule="atLeast" w:line="240" w:before="240" w:after="780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styleId="32" w:customStyle="1">
    <w:name w:val="Основной текст (3)"/>
    <w:basedOn w:val="Normal"/>
    <w:link w:val="31"/>
    <w:qFormat/>
    <w:pPr>
      <w:shd w:val="clear" w:color="auto" w:fill="FFFFFF"/>
      <w:spacing w:lineRule="atLeast" w:line="240" w:before="300" w:after="180"/>
    </w:pPr>
    <w:rPr>
      <w:rFonts w:ascii="Times New Roman" w:hAnsi="Times New Roman" w:cs="Times New Roman"/>
      <w:sz w:val="20"/>
      <w:szCs w:val="20"/>
    </w:rPr>
  </w:style>
  <w:style w:type="paragraph" w:styleId="23" w:customStyle="1">
    <w:name w:val="Основной текст (2)"/>
    <w:basedOn w:val="Normal"/>
    <w:qFormat/>
    <w:pPr>
      <w:shd w:val="clear" w:color="auto" w:fill="FFFFFF"/>
      <w:spacing w:lineRule="atLeast" w:line="240" w:before="78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0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Times New Roman CYR" w:hAnsi="Times New Roman CYR" w:eastAsia="Times New Roman" w:cs="Times New Roman"/>
      <w:color w:val="000000"/>
      <w:sz w:val="24"/>
      <w:szCs w:val="20"/>
      <w:lang w:eastAsia="ru-RU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NormalWeb">
    <w:name w:val="Normal (Web)"/>
    <w:basedOn w:val="Normal"/>
    <w:link w:val="Style16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4" w:customStyle="1">
    <w:name w:val="Обычный (веб)1"/>
    <w:uiPriority w:val="99"/>
    <w:unhideWhenUsed/>
    <w:qFormat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Normal"/>
    <w:qFormat/>
    <w:pPr/>
    <w:rPr/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6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4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5909-C87F-4AA1-BA73-F87F1441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LibreOffice/24.8.4.2$Linux_X86_64 LibreOffice_project/480$Build-2</Application>
  <AppVersion>15.0000</AppVersion>
  <Pages>4</Pages>
  <Words>311</Words>
  <Characters>2517</Characters>
  <CharactersWithSpaces>2979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2024-06-10T10:27:00Z</dcterms:created>
  <dc:creator>Королева Е.В.</dc:creator>
  <dc:description/>
  <dc:language>ru-RU</dc:language>
  <cp:lastModifiedBy/>
  <cp:lastPrinted>2025-12-02T08:16:19Z</cp:lastPrinted>
  <dcterms:modified xsi:type="dcterms:W3CDTF">2025-12-03T17:02:16Z</dcterms:modified>
  <cp:revision>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