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3:43:0413003:522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районе п. Знаменский и п. Зеленопольский;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413003:521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городской округ город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им. Демуса М.Н., земельный участок № 9/14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413003:513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в раоне Знаменский и п. Зеленопольский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413003:78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районе п. Знаменский и п. Зеленопольский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413003:171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им. Демуса М.Н., уч. 9/6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413003:577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000000:29278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городской округ город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 Краснодар, Карасунский внутригородской округ, на территории, ограниченной улицами им. Тюляева, им. Демуса М.Н., проездом на продолжении ул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цы С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мферопольской, от улицы Новороссийской до улицы им. Демуса М.Н.;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8. На земельный участок с кадастровым номером: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000000:292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край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Краснодарский,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г/о г. КраснодарКарасун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ский внутригородской округ, на территории, ограниченной улицами им. Тюляева, им. Демуса М.Н., проездом на продолжении ул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цы С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мферопольской, от улицы Новороссийской до улицы им. Демуса М.Н.;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000000:29279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Краснодарский край,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ородской округ город Краснодар, город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413005:1163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Краснодарский край,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ородской округ город Краснодар, город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улица им. Демуча М.Н., земельный участок 64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земельный участок с кадастровым номером: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3:43:0413005:287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район п. Знаменский и п. Зеленопольский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413005:288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Краснодар,Карасунский внутригородской округ, ул. Демуса М.Н., з/у 70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 На земли, государственная собственность на которые не разграничена, в границах кадастрового квартала: 23:43:0413003;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 На земли, государственная собственность на которые не разграничена, в границах кадастрового квартала: 23:43:0413005.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7539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Строительство линейных объектов системы газоснабжения, их неотъемлемых технологических частей,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подключения (технологического присоединения) к сети инженерно-технического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06.12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21.12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Договор № 144092-Т.П.(инд) о подключении (технологическом присоединении) газоиспользующего оборудования и объектов капитального строительства к сети газораспределения.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Application>LibreOffice/24.8.4.2$Linux_X86_64 LibreOffice_project/480$Build-2</Application>
  <AppVersion>15.0000</AppVersion>
  <Pages>3</Pages>
  <Words>589</Words>
  <Characters>4282</Characters>
  <CharactersWithSpaces>4839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2024-11-20T10:59:00Z</cp:lastPrinted>
  <dcterms:modified xsi:type="dcterms:W3CDTF">2025-12-01T16:32:41Z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