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</w:r>
      <w:r/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sz w:val="28"/>
          <w:szCs w:val="28"/>
        </w:rPr>
        <w:t xml:space="preserve">к административному регламенту</w:t>
      </w:r>
      <w:r>
        <w:rPr>
          <w:sz w:val="28"/>
          <w:szCs w:val="28"/>
        </w:rPr>
      </w:r>
      <w:r/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sz w:val="28"/>
          <w:szCs w:val="28"/>
        </w:rPr>
        <w:t xml:space="preserve">по предоставлению администрацией </w:t>
      </w:r>
      <w:r>
        <w:rPr>
          <w:sz w:val="28"/>
          <w:szCs w:val="28"/>
        </w:rPr>
      </w:r>
      <w:r/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sz w:val="28"/>
          <w:szCs w:val="28"/>
        </w:rPr>
        <w:t xml:space="preserve">муниципального образования город </w:t>
      </w:r>
      <w:r>
        <w:rPr>
          <w:sz w:val="28"/>
          <w:szCs w:val="28"/>
        </w:rPr>
      </w:r>
      <w:r/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sz w:val="28"/>
          <w:szCs w:val="28"/>
        </w:rPr>
        <w:t xml:space="preserve">Краснодар муниципальной услуги </w:t>
      </w:r>
      <w:r>
        <w:rPr>
          <w:sz w:val="28"/>
          <w:szCs w:val="28"/>
        </w:rPr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lang w:eastAsia="en-US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bCs/>
          <w:sz w:val="28"/>
          <w:szCs w:val="28"/>
          <w:lang w:eastAsia="ru-RU"/>
        </w:rPr>
        <w:t xml:space="preserve">Признание многоквартирного дома аварийным и подлежащим сносу или реконструкции</w:t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5103"/>
        <w:jc w:val="center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5103"/>
        <w:jc w:val="center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ПЕРЕЧЕНЬ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о</w:t>
      </w:r>
      <w:r>
        <w:rPr>
          <w:rFonts w:eastAsiaTheme="minorHAnsi"/>
          <w:b/>
          <w:sz w:val="28"/>
          <w:szCs w:val="24"/>
        </w:rPr>
        <w:t xml:space="preserve">бщих признаков, по которым м объединяются категории заявителей,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а также комбинации признаков заявителей, каждая из которых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соответствует одному варианту предоставления услуги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5282"/>
        <w:gridCol w:w="2846"/>
      </w:tblGrid>
      <w:tr>
        <w:trPr>
          <w:trHeight w:val="447"/>
        </w:trPr>
        <w:tc>
          <w:tcPr>
            <w:gridSpan w:val="3"/>
            <w:shd w:val="clear" w:fill="auto" w:color="auto"/>
            <w:tcW w:w="962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признаки, по которым объединяются категории заявителей</w:t>
            </w:r>
            <w:r/>
          </w:p>
        </w:tc>
      </w:tr>
      <w:tr>
        <w:trPr>
          <w:trHeight w:val="325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</w:t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 заявителей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2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84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both"/>
              <w:spacing w:lineRule="auto" w:line="240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sz w:val="24"/>
                <w:szCs w:val="24"/>
                <w:lang w:eastAsia="ru-RU"/>
              </w:rPr>
              <w:t xml:space="preserve">собствен</w:t>
            </w:r>
            <w:r>
              <w:rPr>
                <w:sz w:val="24"/>
                <w:szCs w:val="24"/>
                <w:lang w:eastAsia="ru-RU"/>
              </w:rPr>
              <w:t xml:space="preserve">никами, правообладателями или нанимателями жилого помещения, в том числе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</w:t>
            </w:r>
            <w:r>
              <w:rPr>
                <w:sz w:val="24"/>
                <w:szCs w:val="24"/>
              </w:rPr>
              <w:t xml:space="preserve">, расположенных на территории муниципального образования город Краснодар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spacing w:lineRule="auto" w:line="240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Категории, указанные в пункте 2 подраздела 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II</w:t>
            </w:r>
            <w:r>
              <w:rPr>
                <w:sz w:val="24"/>
                <w:szCs w:val="24"/>
              </w:rPr>
              <w:t xml:space="preserve"> раздела 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дминистра-тивного регламента</w:t>
            </w:r>
            <w:r/>
          </w:p>
        </w:tc>
      </w:tr>
      <w:tr>
        <w:trPr/>
        <w:tc>
          <w:tcPr>
            <w:gridSpan w:val="3"/>
            <w:shd w:val="clear" w:fill="auto" w:color="auto"/>
            <w:tcW w:w="9628" w:type="dxa"/>
            <w:textDirection w:val="lrTb"/>
            <w:noWrap w:val="false"/>
          </w:tcPr>
          <w:p>
            <w:pPr>
              <w:jc w:val="center"/>
              <w:spacing w:lineRule="auto" w:line="276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Комбинации признаков заявителей, каждая из которых</w:t>
            </w:r>
            <w:r>
              <w:rPr>
                <w:sz w:val="24"/>
                <w:szCs w:val="24"/>
              </w:rPr>
              <w:t xml:space="preserve"> соответствует одному варианту предоставления муниципальной услуги</w:t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п/п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Комбинация признаков</w:t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spacing w:lineRule="auto" w:line="276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</w:t>
            </w:r>
            <w:r/>
          </w:p>
        </w:tc>
      </w:tr>
      <w:tr>
        <w:trPr>
          <w:trHeight w:val="2605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both"/>
              <w:spacing w:lineRule="auto" w:line="240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sz w:val="24"/>
                <w:szCs w:val="24"/>
                <w:lang w:eastAsia="ru-RU"/>
              </w:rPr>
              <w:t xml:space="preserve">собственниками, правообладателями или</w:t>
            </w:r>
            <w:r>
              <w:rPr>
                <w:sz w:val="24"/>
                <w:szCs w:val="24"/>
                <w:lang w:eastAsia="ru-RU"/>
              </w:rPr>
              <w:t xml:space="preserve"> нани-мателями жилого помещения</w:t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spacing w:lineRule="auto" w:line="240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 «</w:t>
            </w:r>
            <w:r>
              <w:rPr>
                <w:rFonts w:eastAsiaTheme="minorHAnsi"/>
                <w:bCs/>
                <w:sz w:val="24"/>
                <w:szCs w:val="28"/>
                <w:lang w:eastAsia="ru-RU"/>
              </w:rPr>
              <w:t xml:space="preserve">Признание многоквар-тирного дома аварийным и подлежащим сносу или реконструкции</w:t>
            </w:r>
            <w:r>
              <w:rPr>
                <w:rFonts w:eastAsiaTheme="minorHAnsi"/>
                <w:sz w:val="24"/>
                <w:szCs w:val="24"/>
              </w:rPr>
              <w:t xml:space="preserve">», указанной в подпункте 1</w:t>
            </w:r>
            <w:r>
              <w:rPr>
                <w:rFonts w:eastAsiaTheme="minorHAnsi"/>
                <w:sz w:val="24"/>
                <w:szCs w:val="24"/>
              </w:rPr>
              <w:t xml:space="preserve">)</w:t>
            </w:r>
            <w:r>
              <w:rPr>
                <w:rFonts w:eastAsiaTheme="minorHAnsi"/>
                <w:sz w:val="24"/>
                <w:szCs w:val="24"/>
              </w:rPr>
              <w:t xml:space="preserve"> пункта </w:t>
            </w:r>
            <w:r>
              <w:rPr>
                <w:rFonts w:eastAsiaTheme="minorHAnsi"/>
                <w:sz w:val="24"/>
                <w:szCs w:val="24"/>
              </w:rPr>
              <w:t xml:space="preserve">4</w:t>
            </w:r>
            <w:r>
              <w:rPr>
                <w:rFonts w:eastAsiaTheme="minorHAnsi"/>
                <w:sz w:val="24"/>
                <w:szCs w:val="24"/>
              </w:rPr>
              <w:t xml:space="preserve">3</w:t>
            </w:r>
            <w:r>
              <w:rPr>
                <w:rFonts w:eastAsiaTheme="minorHAnsi"/>
                <w:sz w:val="24"/>
                <w:szCs w:val="24"/>
              </w:rPr>
              <w:t xml:space="preserve"> подраздела I</w:t>
            </w:r>
            <w:r>
              <w:rPr>
                <w:rFonts w:eastAsiaTheme="minorHAns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Theme="minorHAnsi"/>
                <w:sz w:val="24"/>
                <w:szCs w:val="24"/>
              </w:rPr>
              <w:t xml:space="preserve">I.I раздела I</w:t>
            </w:r>
            <w:r>
              <w:rPr>
                <w:rFonts w:eastAsiaTheme="minorHAns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Theme="minorHAnsi"/>
                <w:sz w:val="24"/>
                <w:szCs w:val="24"/>
              </w:rPr>
              <w:t xml:space="preserve">I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А</w:t>
            </w:r>
            <w:r>
              <w:rPr>
                <w:rFonts w:eastAsiaTheme="minorHAnsi"/>
                <w:sz w:val="24"/>
                <w:szCs w:val="24"/>
              </w:rPr>
              <w:t xml:space="preserve">дминист-ративного регламента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</w:tr>
      <w:tr>
        <w:trPr>
          <w:trHeight w:val="258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2.</w:t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Заявители, ранее обратившиеся за получением муниципальной услуги «</w:t>
            </w:r>
            <w:r>
              <w:rPr>
                <w:rFonts w:eastAsiaTheme="minorHAnsi"/>
                <w:bCs/>
                <w:sz w:val="24"/>
                <w:szCs w:val="28"/>
                <w:lang w:eastAsia="ru-RU"/>
              </w:rPr>
              <w:t xml:space="preserve">Признание много-квартирного дома аварийным и подлежащим сносу или реконструкции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» по результатам предоставления которой выданы документы с допущенными опечатками и ошибками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ru-RU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</w:rPr>
            </w:r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rFonts w:eastAsiaTheme="minorHAnsi"/>
                <w:sz w:val="24"/>
                <w:szCs w:val="24"/>
                <w:highlight w:val="none"/>
              </w:rPr>
              <w:t xml:space="preserve">2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Варианты предоставле-ния муниципальной ус-луги, указанные в под-пунктах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) пункта 43 под-раздела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Административного рег-ламента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28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 заявлением о предоставлении муниципальной услуги (далее – заявление) вправе обратиться представители заявителя </w:t>
            </w:r>
            <w:r>
              <w:rPr>
                <w:sz w:val="24"/>
                <w:szCs w:val="24"/>
                <w:lang w:eastAsia="ru-RU"/>
              </w:rPr>
            </w:r>
            <w:r/>
          </w:p>
          <w:p>
            <w:r/>
            <w:r/>
          </w:p>
        </w:tc>
        <w:tc>
          <w:tcPr>
            <w:shd w:val="clear" w:color="FFFFFF" w:fill="FFFFFF"/>
            <w:tcW w:w="2846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4"/>
        <w:jc w:val="both"/>
        <w:spacing w:lineRule="auto" w:line="230"/>
        <w:rPr>
          <w:highlight w:val="none"/>
        </w:rPr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  <w:highlight w:val="none"/>
        </w:rPr>
      </w:r>
      <w:r>
        <w:rPr>
          <w:rFonts w:eastAsiaTheme="minorHAnsi"/>
        </w:rPr>
      </w:r>
    </w:p>
    <w:p>
      <w:pPr>
        <w:pStyle w:val="844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4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4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</w:t>
      </w:r>
      <w:r>
        <w:rPr>
          <w:rFonts w:eastAsiaTheme="minorHAnsi"/>
          <w:sz w:val="28"/>
          <w:szCs w:val="28"/>
        </w:rPr>
        <w:t xml:space="preserve">     С.И.Сторчун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4"/>
        <w:jc w:val="both"/>
        <w:spacing w:lineRule="auto" w:line="230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77"/>
        <w:jc w:val="both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8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9">
    <w:name w:val="Heading 1 Char"/>
    <w:basedOn w:val="835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4"/>
    <w:next w:val="834"/>
    <w:link w:val="6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1">
    <w:name w:val="Heading 2 Char"/>
    <w:basedOn w:val="835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4"/>
    <w:next w:val="834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3">
    <w:name w:val="Heading 3 Char"/>
    <w:basedOn w:val="835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4"/>
    <w:next w:val="834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5">
    <w:name w:val="Heading 4 Char"/>
    <w:basedOn w:val="835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7">
    <w:name w:val="Heading 5 Char"/>
    <w:basedOn w:val="835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9">
    <w:name w:val="Heading 6 Char"/>
    <w:basedOn w:val="835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basedOn w:val="835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basedOn w:val="835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basedOn w:val="835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4"/>
    <w:qFormat/>
    <w:uiPriority w:val="34"/>
    <w:pPr>
      <w:contextualSpacing w:val="true"/>
      <w:ind w:left="720"/>
    </w:pPr>
  </w:style>
  <w:style w:type="paragraph" w:styleId="677">
    <w:name w:val="No Spacing"/>
    <w:qFormat/>
    <w:uiPriority w:val="1"/>
    <w:pPr>
      <w:spacing w:lineRule="auto" w:line="240" w:after="0" w:before="0"/>
    </w:pPr>
  </w:style>
  <w:style w:type="paragraph" w:styleId="678">
    <w:name w:val="Title"/>
    <w:basedOn w:val="834"/>
    <w:next w:val="834"/>
    <w:link w:val="67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qFormat/>
    <w:uiPriority w:val="11"/>
    <w:rPr>
      <w:sz w:val="24"/>
      <w:szCs w:val="24"/>
    </w:rPr>
    <w:pPr>
      <w:spacing w:after="200" w:before="200"/>
    </w:p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qFormat/>
    <w:uiPriority w:val="29"/>
    <w:rPr>
      <w:i/>
    </w:rPr>
    <w:pPr>
      <w:ind w:left="720" w:right="720"/>
    </w:p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5"/>
    <w:link w:val="838"/>
    <w:uiPriority w:val="99"/>
  </w:style>
  <w:style w:type="character" w:styleId="687">
    <w:name w:val="Footer Char"/>
    <w:basedOn w:val="835"/>
    <w:link w:val="840"/>
    <w:uiPriority w:val="99"/>
  </w:style>
  <w:style w:type="paragraph" w:styleId="688">
    <w:name w:val="Caption"/>
    <w:basedOn w:val="834"/>
    <w:next w:val="83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9">
    <w:name w:val="Caption Char"/>
    <w:basedOn w:val="688"/>
    <w:link w:val="840"/>
    <w:uiPriority w:val="99"/>
  </w:style>
  <w:style w:type="table" w:styleId="690">
    <w:name w:val="Table Grid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9">
    <w:name w:val="Grid Table 4 - Accent 1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0">
    <w:name w:val="Grid Table 4 - Accent 2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1">
    <w:name w:val="Grid Table 4 - Accent 3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2">
    <w:name w:val="Grid Table 4 - Accent 4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3">
    <w:name w:val="Grid Table 4 - Accent 5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4">
    <w:name w:val="Grid Table 4 - Accent 6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5">
    <w:name w:val="Grid Table 5 Dark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6">
    <w:name w:val="Grid Table 5 Dark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8">
    <w:name w:val="Grid Table 5 Dark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9">
    <w:name w:val="Grid Table 5 Dark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2">
    <w:name w:val="Grid Table 6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4">
    <w:name w:val="List Table 2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5">
    <w:name w:val="List Table 2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6">
    <w:name w:val="List Table 2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7">
    <w:name w:val="List Table 2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8">
    <w:name w:val="List Table 2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9">
    <w:name w:val="List Table 2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0">
    <w:name w:val="List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2">
    <w:name w:val="List Table 6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3">
    <w:name w:val="List Table 6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4">
    <w:name w:val="List Table 6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5">
    <w:name w:val="List Table 6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6">
    <w:name w:val="List Table 6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7">
    <w:name w:val="List Table 6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8">
    <w:name w:val="List Table 7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6">
    <w:name w:val="Lined - Accent 1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7">
    <w:name w:val="Lined - Accent 2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8">
    <w:name w:val="Lined - Accent 3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9">
    <w:name w:val="Lined - Accent 4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0">
    <w:name w:val="Lined - Accent 5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1">
    <w:name w:val="Lined - Accent 6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2">
    <w:name w:val="Bordered &amp; Lined - Accent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3">
    <w:name w:val="Bordered &amp; Lined - Accent 1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4">
    <w:name w:val="Bordered &amp; Lined - Accent 2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5">
    <w:name w:val="Bordered &amp; Lined - Accent 3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6">
    <w:name w:val="Bordered &amp; Lined - Accent 4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7">
    <w:name w:val="Bordered &amp; Lined - Accent 5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8">
    <w:name w:val="Bordered &amp; Lined - Accent 6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9">
    <w:name w:val="Bordered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0">
    <w:name w:val="Bordered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1">
    <w:name w:val="Bordered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2">
    <w:name w:val="Bordered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3">
    <w:name w:val="Bordered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4">
    <w:name w:val="Bordered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5">
    <w:name w:val="Bordered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rPr>
      <w:sz w:val="18"/>
    </w:rPr>
    <w:pPr>
      <w:spacing w:lineRule="auto" w:line="240" w:after="40"/>
    </w:p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rPr>
      <w:sz w:val="20"/>
    </w:rPr>
    <w:pPr>
      <w:spacing w:lineRule="auto" w:line="240" w:after="0"/>
    </w:p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Header"/>
    <w:basedOn w:val="834"/>
    <w:link w:val="8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9" w:customStyle="1">
    <w:name w:val="Верхний колонтитул Знак"/>
    <w:basedOn w:val="835"/>
    <w:link w:val="838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0">
    <w:name w:val="Footer"/>
    <w:basedOn w:val="834"/>
    <w:link w:val="8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1" w:customStyle="1">
    <w:name w:val="Нижний колонтитул Знак"/>
    <w:basedOn w:val="835"/>
    <w:link w:val="840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2">
    <w:name w:val="Balloon Text"/>
    <w:basedOn w:val="834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5"/>
    <w:link w:val="842"/>
    <w:uiPriority w:val="99"/>
    <w:semiHidden/>
    <w:rPr>
      <w:rFonts w:ascii="Segoe UI" w:hAnsi="Segoe UI" w:cs="Segoe UI" w:eastAsia="Times New Roman"/>
      <w:sz w:val="18"/>
      <w:szCs w:val="18"/>
      <w:lang w:eastAsia="ar-SA"/>
    </w:rPr>
  </w:style>
  <w:style w:type="paragraph" w:styleId="844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8</cp:revision>
  <dcterms:created xsi:type="dcterms:W3CDTF">2022-07-15T09:04:00Z</dcterms:created>
  <dcterms:modified xsi:type="dcterms:W3CDTF">2023-01-25T12:14:32Z</dcterms:modified>
</cp:coreProperties>
</file>