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69"/>
        <w:gridCol w:w="4985"/>
      </w:tblGrid>
      <w:tr w:rsidR="00A9604D" w:rsidTr="00A9604D">
        <w:trPr>
          <w:trHeight w:val="966"/>
        </w:trPr>
        <w:tc>
          <w:tcPr>
            <w:tcW w:w="4869" w:type="dxa"/>
          </w:tcPr>
          <w:p w:rsidR="00A9604D" w:rsidRDefault="00A9604D" w:rsidP="003212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5" w:type="dxa"/>
          </w:tcPr>
          <w:p w:rsidR="00A9604D" w:rsidRDefault="00467F60" w:rsidP="00467F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A9604D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A9604D" w:rsidRDefault="00A9604D" w:rsidP="0057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A9604D" w:rsidRDefault="00A9604D" w:rsidP="00A96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A9604D" w:rsidRDefault="00A9604D" w:rsidP="00A96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Краснодар</w:t>
            </w:r>
          </w:p>
        </w:tc>
      </w:tr>
      <w:tr w:rsidR="00576FB5" w:rsidTr="00A9604D">
        <w:tc>
          <w:tcPr>
            <w:tcW w:w="4869" w:type="dxa"/>
          </w:tcPr>
          <w:p w:rsidR="003212D3" w:rsidRDefault="003212D3" w:rsidP="003212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5" w:type="dxa"/>
          </w:tcPr>
          <w:p w:rsidR="00576FB5" w:rsidRDefault="00576FB5" w:rsidP="00576F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846" w:rsidRPr="00891846" w:rsidRDefault="00891846" w:rsidP="00891846">
            <w:pPr>
              <w:ind w:left="5040" w:hanging="5040"/>
              <w:rPr>
                <w:rFonts w:ascii="Times New Roman" w:hAnsi="Times New Roman" w:cs="Times New Roman"/>
                <w:sz w:val="28"/>
                <w:szCs w:val="28"/>
              </w:rPr>
            </w:pPr>
            <w:r w:rsidRPr="00891846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Pr="0089184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12.12.2013   №   9653</w:t>
            </w:r>
          </w:p>
          <w:p w:rsidR="00A9604D" w:rsidRDefault="00A9604D" w:rsidP="00467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6FB5" w:rsidRDefault="00B54D64" w:rsidP="00B54D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576FB5" w:rsidRDefault="00576FB5" w:rsidP="00B54D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6FB5" w:rsidRDefault="00576FB5" w:rsidP="00B54D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4D64" w:rsidRDefault="00B54D64" w:rsidP="00576FB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54D64" w:rsidRDefault="00467F60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</w:t>
      </w:r>
      <w:r w:rsidR="00B54D64">
        <w:rPr>
          <w:rFonts w:ascii="Times New Roman" w:hAnsi="Times New Roman" w:cs="Times New Roman"/>
          <w:b/>
          <w:sz w:val="40"/>
          <w:szCs w:val="40"/>
        </w:rPr>
        <w:t>роизводственная программа</w:t>
      </w: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4D64" w:rsidRPr="00467F60" w:rsidRDefault="00C50825" w:rsidP="00BF54FB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З</w:t>
      </w:r>
      <w:r w:rsidR="00B54D64" w:rsidRPr="00467F60">
        <w:rPr>
          <w:rFonts w:ascii="Times New Roman" w:hAnsi="Times New Roman" w:cs="Times New Roman"/>
          <w:b/>
          <w:sz w:val="44"/>
          <w:szCs w:val="44"/>
        </w:rPr>
        <w:t>АО</w:t>
      </w:r>
      <w:r w:rsidR="00BF54FB" w:rsidRPr="00467F60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B54D64" w:rsidRPr="00467F60">
        <w:rPr>
          <w:rFonts w:ascii="Times New Roman" w:hAnsi="Times New Roman" w:cs="Times New Roman"/>
          <w:b/>
          <w:sz w:val="44"/>
          <w:szCs w:val="44"/>
        </w:rPr>
        <w:t>«</w:t>
      </w:r>
      <w:r>
        <w:rPr>
          <w:rFonts w:ascii="Times New Roman" w:hAnsi="Times New Roman" w:cs="Times New Roman"/>
          <w:b/>
          <w:sz w:val="44"/>
          <w:szCs w:val="44"/>
        </w:rPr>
        <w:t>КНПЗ-КЭН</w:t>
      </w:r>
      <w:r w:rsidR="00B54D64" w:rsidRPr="00467F60">
        <w:rPr>
          <w:rFonts w:ascii="Times New Roman" w:hAnsi="Times New Roman" w:cs="Times New Roman"/>
          <w:b/>
          <w:sz w:val="44"/>
          <w:szCs w:val="44"/>
        </w:rPr>
        <w:t>»</w:t>
      </w: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в сфере холодного водоснабжения</w:t>
      </w:r>
    </w:p>
    <w:p w:rsidR="00B54D64" w:rsidRDefault="00467F60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на </w:t>
      </w:r>
      <w:r w:rsidR="00B54D64">
        <w:rPr>
          <w:rFonts w:ascii="Times New Roman" w:hAnsi="Times New Roman" w:cs="Times New Roman"/>
          <w:b/>
          <w:sz w:val="40"/>
          <w:szCs w:val="40"/>
        </w:rPr>
        <w:t>2014 г</w:t>
      </w:r>
      <w:r>
        <w:rPr>
          <w:rFonts w:ascii="Times New Roman" w:hAnsi="Times New Roman" w:cs="Times New Roman"/>
          <w:b/>
          <w:sz w:val="40"/>
          <w:szCs w:val="40"/>
        </w:rPr>
        <w:t>од</w:t>
      </w: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4C6" w:rsidRDefault="004574C6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9604D" w:rsidRDefault="00A9604D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9604D" w:rsidRDefault="00A9604D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4D64" w:rsidRDefault="00E50AF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г. Краснодар</w:t>
      </w:r>
    </w:p>
    <w:p w:rsidR="00840263" w:rsidRDefault="00B54D64" w:rsidP="00E54C9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2013</w:t>
      </w:r>
    </w:p>
    <w:p w:rsidR="008C3D62" w:rsidRDefault="008C3D62" w:rsidP="00E54C9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C3D62" w:rsidRDefault="008C3D62" w:rsidP="00E54C9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C3D62" w:rsidRDefault="008C3D62" w:rsidP="00E54C9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54C92" w:rsidRDefault="00E54C92" w:rsidP="00E54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852FB1" w:rsidRDefault="00E54C92" w:rsidP="00E54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производственной программы </w:t>
      </w:r>
      <w:r w:rsidR="00C50825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АО «</w:t>
      </w:r>
      <w:r w:rsidR="00C50825">
        <w:rPr>
          <w:rFonts w:ascii="Times New Roman" w:hAnsi="Times New Roman" w:cs="Times New Roman"/>
          <w:b/>
          <w:sz w:val="28"/>
          <w:szCs w:val="28"/>
        </w:rPr>
        <w:t>КНПЗ-КЭН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57A5C" w:rsidRDefault="00E54C92" w:rsidP="00E54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сфере </w:t>
      </w:r>
      <w:r w:rsidR="00757A5C">
        <w:rPr>
          <w:rFonts w:ascii="Times New Roman" w:hAnsi="Times New Roman" w:cs="Times New Roman"/>
          <w:b/>
          <w:sz w:val="28"/>
          <w:szCs w:val="28"/>
        </w:rPr>
        <w:t>водоснабжени</w:t>
      </w:r>
      <w:r w:rsidR="00A50946">
        <w:rPr>
          <w:rFonts w:ascii="Times New Roman" w:hAnsi="Times New Roman" w:cs="Times New Roman"/>
          <w:b/>
          <w:sz w:val="28"/>
          <w:szCs w:val="28"/>
        </w:rPr>
        <w:t>я</w:t>
      </w:r>
      <w:r w:rsidR="00757A5C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E54C92" w:rsidRDefault="00757A5C" w:rsidP="00E54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технологического процесса</w:t>
      </w:r>
      <w:r w:rsidR="00E54C92">
        <w:rPr>
          <w:rFonts w:ascii="Times New Roman" w:hAnsi="Times New Roman" w:cs="Times New Roman"/>
          <w:b/>
          <w:sz w:val="28"/>
          <w:szCs w:val="28"/>
        </w:rPr>
        <w:t>.</w:t>
      </w:r>
    </w:p>
    <w:p w:rsidR="0064573A" w:rsidRDefault="0064573A" w:rsidP="00DA1D2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7A5C" w:rsidRDefault="00757A5C" w:rsidP="00DA1D2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4C92" w:rsidRPr="00481BE3" w:rsidRDefault="00467F60" w:rsidP="00E5626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81BE3">
        <w:rPr>
          <w:rFonts w:ascii="Times New Roman" w:hAnsi="Times New Roman" w:cs="Times New Roman"/>
          <w:sz w:val="24"/>
          <w:szCs w:val="24"/>
        </w:rPr>
        <w:t xml:space="preserve">Наименование регулируемой организации: </w:t>
      </w:r>
      <w:r w:rsidR="00C50825" w:rsidRPr="00D32083">
        <w:rPr>
          <w:rFonts w:ascii="Times New Roman" w:hAnsi="Times New Roman" w:cs="Times New Roman"/>
          <w:b/>
          <w:sz w:val="24"/>
          <w:szCs w:val="24"/>
        </w:rPr>
        <w:t>З</w:t>
      </w:r>
      <w:r w:rsidR="00A9604D" w:rsidRPr="00D32083">
        <w:rPr>
          <w:rFonts w:ascii="Times New Roman" w:hAnsi="Times New Roman" w:cs="Times New Roman"/>
          <w:b/>
          <w:sz w:val="24"/>
          <w:szCs w:val="24"/>
        </w:rPr>
        <w:t>АО «</w:t>
      </w:r>
      <w:r w:rsidR="00C50825" w:rsidRPr="00D32083">
        <w:rPr>
          <w:rFonts w:ascii="Times New Roman" w:hAnsi="Times New Roman" w:cs="Times New Roman"/>
          <w:b/>
          <w:sz w:val="24"/>
          <w:szCs w:val="24"/>
        </w:rPr>
        <w:t>КНПЗ-КЭН</w:t>
      </w:r>
      <w:r w:rsidRPr="00D32083">
        <w:rPr>
          <w:rFonts w:ascii="Times New Roman" w:hAnsi="Times New Roman" w:cs="Times New Roman"/>
          <w:b/>
          <w:sz w:val="24"/>
          <w:szCs w:val="24"/>
        </w:rPr>
        <w:t>»</w:t>
      </w:r>
      <w:r w:rsidRPr="00481BE3">
        <w:rPr>
          <w:rFonts w:ascii="Times New Roman" w:hAnsi="Times New Roman" w:cs="Times New Roman"/>
          <w:sz w:val="24"/>
          <w:szCs w:val="24"/>
        </w:rPr>
        <w:t>.</w:t>
      </w:r>
    </w:p>
    <w:p w:rsidR="00467F60" w:rsidRPr="00481BE3" w:rsidRDefault="00467F60" w:rsidP="00E562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1BE3">
        <w:rPr>
          <w:rFonts w:ascii="Times New Roman" w:hAnsi="Times New Roman" w:cs="Times New Roman"/>
          <w:sz w:val="24"/>
          <w:szCs w:val="24"/>
        </w:rPr>
        <w:t xml:space="preserve">Местонахождение: город Краснодар, ул. </w:t>
      </w:r>
      <w:r w:rsidR="00C50825" w:rsidRPr="00481BE3">
        <w:rPr>
          <w:rFonts w:ascii="Times New Roman" w:hAnsi="Times New Roman" w:cs="Times New Roman"/>
          <w:sz w:val="24"/>
          <w:szCs w:val="24"/>
        </w:rPr>
        <w:t>Захарова,2</w:t>
      </w:r>
      <w:r w:rsidRPr="00481BE3">
        <w:rPr>
          <w:rFonts w:ascii="Times New Roman" w:hAnsi="Times New Roman" w:cs="Times New Roman"/>
          <w:sz w:val="24"/>
          <w:szCs w:val="24"/>
        </w:rPr>
        <w:t>.</w:t>
      </w:r>
    </w:p>
    <w:p w:rsidR="008C3D62" w:rsidRPr="00481BE3" w:rsidRDefault="00E5626F" w:rsidP="00E562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1BE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C3D62" w:rsidRPr="00481BE3">
        <w:rPr>
          <w:rFonts w:ascii="Times New Roman" w:hAnsi="Times New Roman" w:cs="Times New Roman"/>
          <w:sz w:val="24"/>
          <w:szCs w:val="24"/>
        </w:rPr>
        <w:t>ЗАО «КНПЗ-КЭН»  относится к Минэнерго РФ. Производственная мощность перер</w:t>
      </w:r>
      <w:r w:rsidR="008C3D62" w:rsidRPr="00481BE3">
        <w:rPr>
          <w:rFonts w:ascii="Times New Roman" w:hAnsi="Times New Roman" w:cs="Times New Roman"/>
          <w:sz w:val="24"/>
          <w:szCs w:val="24"/>
        </w:rPr>
        <w:t>а</w:t>
      </w:r>
      <w:r w:rsidR="008C3D62" w:rsidRPr="00481BE3">
        <w:rPr>
          <w:rFonts w:ascii="Times New Roman" w:hAnsi="Times New Roman" w:cs="Times New Roman"/>
          <w:sz w:val="24"/>
          <w:szCs w:val="24"/>
        </w:rPr>
        <w:t>ботки углеводородного сырья 2900 тыс. тонн/год. Цикл производства - непрерывный.</w:t>
      </w:r>
      <w:r w:rsidR="0013419A" w:rsidRPr="00481BE3">
        <w:rPr>
          <w:rFonts w:ascii="Times New Roman" w:hAnsi="Times New Roman" w:cs="Times New Roman"/>
          <w:sz w:val="24"/>
          <w:szCs w:val="24"/>
        </w:rPr>
        <w:t xml:space="preserve"> Ос</w:t>
      </w:r>
      <w:r w:rsidR="0013419A" w:rsidRPr="00481BE3">
        <w:rPr>
          <w:rFonts w:ascii="Times New Roman" w:hAnsi="Times New Roman" w:cs="Times New Roman"/>
          <w:sz w:val="24"/>
          <w:szCs w:val="24"/>
        </w:rPr>
        <w:t>у</w:t>
      </w:r>
      <w:r w:rsidR="0013419A" w:rsidRPr="00481BE3">
        <w:rPr>
          <w:rFonts w:ascii="Times New Roman" w:hAnsi="Times New Roman" w:cs="Times New Roman"/>
          <w:sz w:val="24"/>
          <w:szCs w:val="24"/>
        </w:rPr>
        <w:t>ществляет водоснабжение сторонних организаций, обеспечение собственных нужд. В жилые помещения вода не подается.</w:t>
      </w:r>
    </w:p>
    <w:p w:rsidR="008C3D62" w:rsidRPr="00481BE3" w:rsidRDefault="00F201FF" w:rsidP="00E5626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1BE3">
        <w:rPr>
          <w:rFonts w:ascii="Times New Roman" w:hAnsi="Times New Roman" w:cs="Times New Roman"/>
          <w:sz w:val="24"/>
          <w:szCs w:val="24"/>
        </w:rPr>
        <w:t xml:space="preserve"> </w:t>
      </w:r>
      <w:r w:rsidR="008C3D62" w:rsidRPr="00481BE3">
        <w:rPr>
          <w:rFonts w:ascii="Times New Roman" w:hAnsi="Times New Roman" w:cs="Times New Roman"/>
          <w:sz w:val="24"/>
          <w:szCs w:val="24"/>
        </w:rPr>
        <w:t>Источниками водоснабжения предприятия являются подземные воды (12 арт. скв</w:t>
      </w:r>
      <w:r w:rsidR="008C3D62" w:rsidRPr="00481BE3">
        <w:rPr>
          <w:rFonts w:ascii="Times New Roman" w:hAnsi="Times New Roman" w:cs="Times New Roman"/>
          <w:sz w:val="24"/>
          <w:szCs w:val="24"/>
        </w:rPr>
        <w:t>а</w:t>
      </w:r>
      <w:r w:rsidR="008C3D62" w:rsidRPr="00481BE3">
        <w:rPr>
          <w:rFonts w:ascii="Times New Roman" w:hAnsi="Times New Roman" w:cs="Times New Roman"/>
          <w:sz w:val="24"/>
          <w:szCs w:val="24"/>
        </w:rPr>
        <w:t>жин питьевого и технического качества) и р. Кубань.</w:t>
      </w:r>
      <w:r w:rsidR="0013419A" w:rsidRPr="00481B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3D62" w:rsidRPr="00481BE3" w:rsidRDefault="00F201FF" w:rsidP="00E5626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1BE3">
        <w:rPr>
          <w:rFonts w:ascii="Times New Roman" w:hAnsi="Times New Roman" w:cs="Times New Roman"/>
          <w:sz w:val="24"/>
          <w:szCs w:val="24"/>
        </w:rPr>
        <w:t xml:space="preserve">  </w:t>
      </w:r>
      <w:r w:rsidR="00E5626F" w:rsidRPr="00481BE3">
        <w:rPr>
          <w:rFonts w:ascii="Times New Roman" w:hAnsi="Times New Roman" w:cs="Times New Roman"/>
          <w:sz w:val="24"/>
          <w:szCs w:val="24"/>
        </w:rPr>
        <w:t>Для хозяйственно-</w:t>
      </w:r>
      <w:r w:rsidR="008C3D62" w:rsidRPr="00481BE3">
        <w:rPr>
          <w:rFonts w:ascii="Times New Roman" w:hAnsi="Times New Roman" w:cs="Times New Roman"/>
          <w:sz w:val="24"/>
          <w:szCs w:val="24"/>
        </w:rPr>
        <w:t>питьевого водоснабжения используются подземные воды Апш</w:t>
      </w:r>
      <w:r w:rsidR="008C3D62" w:rsidRPr="00481BE3">
        <w:rPr>
          <w:rFonts w:ascii="Times New Roman" w:hAnsi="Times New Roman" w:cs="Times New Roman"/>
          <w:sz w:val="24"/>
          <w:szCs w:val="24"/>
        </w:rPr>
        <w:t>е</w:t>
      </w:r>
      <w:r w:rsidR="008C3D62" w:rsidRPr="00481BE3">
        <w:rPr>
          <w:rFonts w:ascii="Times New Roman" w:hAnsi="Times New Roman" w:cs="Times New Roman"/>
          <w:sz w:val="24"/>
          <w:szCs w:val="24"/>
        </w:rPr>
        <w:t xml:space="preserve">ронского и Акчагыльского водоносных горизонтов. </w:t>
      </w:r>
    </w:p>
    <w:p w:rsidR="008C3D62" w:rsidRDefault="00F201FF" w:rsidP="00E5626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1BE3">
        <w:rPr>
          <w:rFonts w:ascii="Times New Roman" w:hAnsi="Times New Roman" w:cs="Times New Roman"/>
          <w:sz w:val="24"/>
          <w:szCs w:val="24"/>
        </w:rPr>
        <w:t xml:space="preserve">   </w:t>
      </w:r>
      <w:r w:rsidR="008C3D62" w:rsidRPr="00481BE3">
        <w:rPr>
          <w:rFonts w:ascii="Times New Roman" w:hAnsi="Times New Roman" w:cs="Times New Roman"/>
          <w:sz w:val="24"/>
          <w:szCs w:val="24"/>
        </w:rPr>
        <w:t>Обеспечение производственных нужд предприятия осуществляется путем эксплу</w:t>
      </w:r>
      <w:r w:rsidR="008C3D62" w:rsidRPr="00481BE3">
        <w:rPr>
          <w:rFonts w:ascii="Times New Roman" w:hAnsi="Times New Roman" w:cs="Times New Roman"/>
          <w:sz w:val="24"/>
          <w:szCs w:val="24"/>
        </w:rPr>
        <w:t>а</w:t>
      </w:r>
      <w:r w:rsidR="008C3D62" w:rsidRPr="00481BE3">
        <w:rPr>
          <w:rFonts w:ascii="Times New Roman" w:hAnsi="Times New Roman" w:cs="Times New Roman"/>
          <w:sz w:val="24"/>
          <w:szCs w:val="24"/>
        </w:rPr>
        <w:t>тации четвертичного водоносного горизонта и забором воды из р. Кубань.     Водопользов</w:t>
      </w:r>
      <w:r w:rsidR="008C3D62" w:rsidRPr="00481BE3">
        <w:rPr>
          <w:rFonts w:ascii="Times New Roman" w:hAnsi="Times New Roman" w:cs="Times New Roman"/>
          <w:sz w:val="24"/>
          <w:szCs w:val="24"/>
        </w:rPr>
        <w:t>а</w:t>
      </w:r>
      <w:r w:rsidR="008C3D62" w:rsidRPr="00481BE3">
        <w:rPr>
          <w:rFonts w:ascii="Times New Roman" w:hAnsi="Times New Roman" w:cs="Times New Roman"/>
          <w:sz w:val="24"/>
          <w:szCs w:val="24"/>
        </w:rPr>
        <w:t>ние осуществляется на основе лицензии на право пользования недрами серия КРД № 02165 вид лицензии ВЭ (срок действия до 03.09.2028 г.).</w:t>
      </w:r>
      <w:r w:rsidRPr="00481BE3">
        <w:rPr>
          <w:rFonts w:ascii="Times New Roman" w:hAnsi="Times New Roman" w:cs="Times New Roman"/>
          <w:sz w:val="24"/>
          <w:szCs w:val="24"/>
        </w:rPr>
        <w:t xml:space="preserve"> </w:t>
      </w:r>
      <w:r w:rsidR="007152C4" w:rsidRPr="00481BE3">
        <w:rPr>
          <w:rFonts w:ascii="Times New Roman" w:hAnsi="Times New Roman" w:cs="Times New Roman"/>
          <w:sz w:val="24"/>
          <w:szCs w:val="24"/>
        </w:rPr>
        <w:t>Проверка качества, состава воды произв</w:t>
      </w:r>
      <w:r w:rsidR="007152C4" w:rsidRPr="00481BE3">
        <w:rPr>
          <w:rFonts w:ascii="Times New Roman" w:hAnsi="Times New Roman" w:cs="Times New Roman"/>
          <w:sz w:val="24"/>
          <w:szCs w:val="24"/>
        </w:rPr>
        <w:t>о</w:t>
      </w:r>
      <w:r w:rsidR="007152C4" w:rsidRPr="00481BE3">
        <w:rPr>
          <w:rFonts w:ascii="Times New Roman" w:hAnsi="Times New Roman" w:cs="Times New Roman"/>
          <w:sz w:val="24"/>
          <w:szCs w:val="24"/>
        </w:rPr>
        <w:t xml:space="preserve">дится ежемесячно на основании договора  с </w:t>
      </w:r>
      <w:r w:rsidR="00A432EB" w:rsidRPr="00481BE3">
        <w:rPr>
          <w:rFonts w:ascii="Times New Roman" w:hAnsi="Times New Roman" w:cs="Times New Roman"/>
          <w:sz w:val="24"/>
          <w:szCs w:val="24"/>
        </w:rPr>
        <w:t xml:space="preserve">ФБУЗ </w:t>
      </w:r>
      <w:r w:rsidR="007152C4" w:rsidRPr="00481BE3">
        <w:rPr>
          <w:rFonts w:ascii="Times New Roman" w:hAnsi="Times New Roman" w:cs="Times New Roman"/>
          <w:sz w:val="24"/>
          <w:szCs w:val="24"/>
        </w:rPr>
        <w:t>«Центром гигиены и эпидемиологии в Краснодарском крае».</w:t>
      </w:r>
    </w:p>
    <w:p w:rsidR="00D32083" w:rsidRPr="00481BE3" w:rsidRDefault="00D32083" w:rsidP="00E5626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3D62" w:rsidRPr="00E5626F" w:rsidRDefault="008C3D62" w:rsidP="00E562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26F">
        <w:rPr>
          <w:rFonts w:ascii="Times New Roman" w:hAnsi="Times New Roman" w:cs="Times New Roman"/>
          <w:sz w:val="28"/>
          <w:szCs w:val="28"/>
        </w:rPr>
        <w:t xml:space="preserve">    Характеристика действующих скважин представлена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3"/>
        <w:gridCol w:w="900"/>
        <w:gridCol w:w="2132"/>
        <w:gridCol w:w="1648"/>
        <w:gridCol w:w="3883"/>
      </w:tblGrid>
      <w:tr w:rsidR="008C3D62" w:rsidRPr="00481BE3" w:rsidTr="00D32083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62" w:rsidRPr="00481BE3" w:rsidRDefault="008C3D62" w:rsidP="00F201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№ скв</w:t>
            </w: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жины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62" w:rsidRPr="00481BE3" w:rsidRDefault="008C3D62" w:rsidP="00F201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дебит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62" w:rsidRPr="00481BE3" w:rsidRDefault="008C3D62" w:rsidP="00F201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62" w:rsidRPr="00481BE3" w:rsidRDefault="008C3D62" w:rsidP="00F201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D62" w:rsidRPr="00481BE3" w:rsidRDefault="008C3D62" w:rsidP="00F201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Назначение скважин</w:t>
            </w:r>
          </w:p>
        </w:tc>
      </w:tr>
      <w:tr w:rsidR="008C3D62" w:rsidRPr="00481BE3" w:rsidTr="00D32083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ЭЦВ- 8-25-100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11 кВт/час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На данный момент в технологич</w:t>
            </w: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ском процессе не используется (реконструкция)</w:t>
            </w:r>
          </w:p>
        </w:tc>
      </w:tr>
      <w:tr w:rsidR="008C3D62" w:rsidRPr="00481BE3" w:rsidTr="00D32083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ЭЦВ- 8-25-100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11 кВт/час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Питьевая скважина</w:t>
            </w:r>
          </w:p>
        </w:tc>
      </w:tr>
      <w:tr w:rsidR="008C3D62" w:rsidRPr="00481BE3" w:rsidTr="00D32083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ЭЦВ- 8-25-100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11 кВт/час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Питьевая скважина</w:t>
            </w:r>
          </w:p>
        </w:tc>
      </w:tr>
      <w:tr w:rsidR="008C3D62" w:rsidRPr="00481BE3" w:rsidTr="00D32083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эрлифт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На данный момент в технологич</w:t>
            </w: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ском процессе не используется  (реконструкция)</w:t>
            </w:r>
          </w:p>
        </w:tc>
      </w:tr>
      <w:tr w:rsidR="008C3D62" w:rsidRPr="00481BE3" w:rsidTr="00D32083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ЭЦВ- 8-25-100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11 кВт/час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Для технологических нужд</w:t>
            </w:r>
          </w:p>
        </w:tc>
      </w:tr>
      <w:tr w:rsidR="008C3D62" w:rsidRPr="00481BE3" w:rsidTr="00D32083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эрлифт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Для технологических нужд</w:t>
            </w:r>
          </w:p>
        </w:tc>
      </w:tr>
      <w:tr w:rsidR="008C3D62" w:rsidRPr="00481BE3" w:rsidTr="00D32083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ЭЦВ- 8-25-100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11 кВт/час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Для технологических нужд</w:t>
            </w:r>
          </w:p>
        </w:tc>
      </w:tr>
      <w:tr w:rsidR="008C3D62" w:rsidRPr="00481BE3" w:rsidTr="00D32083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ЭЦВ- 8-25-100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11 кВт/час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Для технологических нужд</w:t>
            </w:r>
          </w:p>
        </w:tc>
      </w:tr>
      <w:tr w:rsidR="008C3D62" w:rsidRPr="00481BE3" w:rsidTr="00D32083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эрлифт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Нуждается в реконструкции</w:t>
            </w:r>
          </w:p>
        </w:tc>
      </w:tr>
      <w:tr w:rsidR="008C3D62" w:rsidRPr="00481BE3" w:rsidTr="00D32083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ЭЦВ- 8-25-100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11 кВт/час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Питьевая скважина</w:t>
            </w:r>
          </w:p>
        </w:tc>
      </w:tr>
      <w:tr w:rsidR="008C3D62" w:rsidRPr="00481BE3" w:rsidTr="00D32083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ЭЦВ- 8-25-100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11 кВт/час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Питьевая скважина</w:t>
            </w:r>
          </w:p>
        </w:tc>
      </w:tr>
      <w:tr w:rsidR="008C3D62" w:rsidRPr="00481BE3" w:rsidTr="00D32083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ЭЦВ- 8-25-100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11 кВт/час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D62" w:rsidRPr="00481BE3" w:rsidRDefault="008C3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E3">
              <w:rPr>
                <w:rFonts w:ascii="Times New Roman" w:hAnsi="Times New Roman" w:cs="Times New Roman"/>
                <w:sz w:val="24"/>
                <w:szCs w:val="24"/>
              </w:rPr>
              <w:t>Для технологических нужд</w:t>
            </w:r>
          </w:p>
        </w:tc>
      </w:tr>
    </w:tbl>
    <w:p w:rsidR="00E5626F" w:rsidRPr="00481BE3" w:rsidRDefault="00E5626F" w:rsidP="008C3D62">
      <w:pPr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294FC1" w:rsidRPr="00481BE3" w:rsidRDefault="007152C4" w:rsidP="00294FC1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1BE3">
        <w:rPr>
          <w:rFonts w:ascii="Times New Roman" w:hAnsi="Times New Roman" w:cs="Times New Roman"/>
          <w:sz w:val="24"/>
          <w:szCs w:val="24"/>
        </w:rPr>
        <w:t>Обеспечивается круглосуточная подача питьевой воды потребителям, что является необходимой составляющей для предоставления качественных услуг по водоснабжению:</w:t>
      </w:r>
      <w:r w:rsidR="008C3D62" w:rsidRPr="00481BE3">
        <w:rPr>
          <w:rFonts w:ascii="Times New Roman" w:hAnsi="Times New Roman" w:cs="Times New Roman"/>
          <w:sz w:val="24"/>
          <w:szCs w:val="24"/>
        </w:rPr>
        <w:t xml:space="preserve">  ОАО НПП «Нефтехим», Краснодарскому отряду ведомственной охраны РГП ВО ЖДТ Ро</w:t>
      </w:r>
      <w:r w:rsidR="008C3D62" w:rsidRPr="00481BE3">
        <w:rPr>
          <w:rFonts w:ascii="Times New Roman" w:hAnsi="Times New Roman" w:cs="Times New Roman"/>
          <w:sz w:val="24"/>
          <w:szCs w:val="24"/>
        </w:rPr>
        <w:t>с</w:t>
      </w:r>
      <w:r w:rsidR="008C3D62" w:rsidRPr="00481BE3">
        <w:rPr>
          <w:rFonts w:ascii="Times New Roman" w:hAnsi="Times New Roman" w:cs="Times New Roman"/>
          <w:sz w:val="24"/>
          <w:szCs w:val="24"/>
        </w:rPr>
        <w:t>сии на СКЖД, МКУ «Учреждение по обеспечению деятельности органов местного сам</w:t>
      </w:r>
      <w:r w:rsidR="008C3D62" w:rsidRPr="00481BE3">
        <w:rPr>
          <w:rFonts w:ascii="Times New Roman" w:hAnsi="Times New Roman" w:cs="Times New Roman"/>
          <w:sz w:val="24"/>
          <w:szCs w:val="24"/>
        </w:rPr>
        <w:t>о</w:t>
      </w:r>
      <w:r w:rsidR="008C3D62" w:rsidRPr="00481BE3">
        <w:rPr>
          <w:rFonts w:ascii="Times New Roman" w:hAnsi="Times New Roman" w:cs="Times New Roman"/>
          <w:sz w:val="24"/>
          <w:szCs w:val="24"/>
        </w:rPr>
        <w:t>управления муниципального образования г.Краснодар», ОАО «Черномортранснефть» с</w:t>
      </w:r>
      <w:r w:rsidR="008C3D62" w:rsidRPr="00481BE3">
        <w:rPr>
          <w:rFonts w:ascii="Times New Roman" w:hAnsi="Times New Roman" w:cs="Times New Roman"/>
          <w:sz w:val="24"/>
          <w:szCs w:val="24"/>
        </w:rPr>
        <w:t>о</w:t>
      </w:r>
      <w:r w:rsidR="008C3D62" w:rsidRPr="00481BE3">
        <w:rPr>
          <w:rFonts w:ascii="Times New Roman" w:hAnsi="Times New Roman" w:cs="Times New Roman"/>
          <w:sz w:val="24"/>
          <w:szCs w:val="24"/>
        </w:rPr>
        <w:t>гласно условий заключенных договоров.</w:t>
      </w:r>
      <w:r w:rsidR="00294FC1" w:rsidRPr="00481BE3">
        <w:rPr>
          <w:rFonts w:ascii="Times New Roman" w:hAnsi="Times New Roman" w:cs="Times New Roman"/>
          <w:sz w:val="24"/>
          <w:szCs w:val="24"/>
        </w:rPr>
        <w:t xml:space="preserve"> На данный момент 100% потребителей оборудовано приборами учета. Подключение новых потребителей без приборов учета не допускается.</w:t>
      </w:r>
    </w:p>
    <w:p w:rsidR="008C3D62" w:rsidRPr="00481BE3" w:rsidRDefault="008C3D62" w:rsidP="00E5626F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481BE3">
        <w:rPr>
          <w:rFonts w:ascii="Times New Roman" w:hAnsi="Times New Roman" w:cs="Times New Roman"/>
          <w:sz w:val="24"/>
          <w:szCs w:val="24"/>
        </w:rPr>
        <w:t>Питьевой водопровод состоит из системы трубопроводов общей протяженностью 3825 м. Трубопровод введен в эксплуатацию в 1952 г. Скважины оснащены электрическими счетчиками, ведется учет электроэнергии.  ЗАО «КНПЗ-КЭН» заключен договор с ОАО «К</w:t>
      </w:r>
      <w:r w:rsidRPr="00481BE3">
        <w:rPr>
          <w:rFonts w:ascii="Times New Roman" w:hAnsi="Times New Roman" w:cs="Times New Roman"/>
          <w:sz w:val="24"/>
          <w:szCs w:val="24"/>
        </w:rPr>
        <w:t>у</w:t>
      </w:r>
      <w:r w:rsidRPr="00481BE3">
        <w:rPr>
          <w:rFonts w:ascii="Times New Roman" w:hAnsi="Times New Roman" w:cs="Times New Roman"/>
          <w:sz w:val="24"/>
          <w:szCs w:val="24"/>
        </w:rPr>
        <w:t>баньэнергосбыт» на поставку электроэнергии №1310021-326/15 от 16.05.2012г.</w:t>
      </w:r>
    </w:p>
    <w:p w:rsidR="00A432EB" w:rsidRPr="00481BE3" w:rsidRDefault="00A432EB" w:rsidP="00E5626F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481BE3">
        <w:rPr>
          <w:rFonts w:ascii="Times New Roman" w:hAnsi="Times New Roman" w:cs="Times New Roman"/>
          <w:sz w:val="24"/>
          <w:szCs w:val="24"/>
        </w:rPr>
        <w:t>Система водоснабжения ЗАО «КНПЗ-КЭН»</w:t>
      </w:r>
      <w:r w:rsidR="00664FA9" w:rsidRPr="00481BE3">
        <w:rPr>
          <w:rFonts w:ascii="Times New Roman" w:hAnsi="Times New Roman" w:cs="Times New Roman"/>
          <w:sz w:val="24"/>
          <w:szCs w:val="24"/>
        </w:rPr>
        <w:t xml:space="preserve"> в целом  работает удовлетворительно, обеспечивая  потребителей согласно договорных обяз</w:t>
      </w:r>
      <w:r w:rsidR="00481BE3">
        <w:rPr>
          <w:rFonts w:ascii="Times New Roman" w:hAnsi="Times New Roman" w:cs="Times New Roman"/>
          <w:sz w:val="24"/>
          <w:szCs w:val="24"/>
        </w:rPr>
        <w:t>а</w:t>
      </w:r>
      <w:r w:rsidR="00664FA9" w:rsidRPr="00481BE3">
        <w:rPr>
          <w:rFonts w:ascii="Times New Roman" w:hAnsi="Times New Roman" w:cs="Times New Roman"/>
          <w:sz w:val="24"/>
          <w:szCs w:val="24"/>
        </w:rPr>
        <w:t>тельств.</w:t>
      </w:r>
    </w:p>
    <w:p w:rsidR="008C3D62" w:rsidRPr="00481BE3" w:rsidRDefault="008C3D62" w:rsidP="008C3D62">
      <w:pPr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F37DC2" w:rsidRPr="00481BE3" w:rsidRDefault="00467F60" w:rsidP="00F37D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1BE3">
        <w:rPr>
          <w:rFonts w:ascii="Times New Roman" w:hAnsi="Times New Roman" w:cs="Times New Roman"/>
          <w:sz w:val="24"/>
          <w:szCs w:val="24"/>
        </w:rPr>
        <w:t>Наименование уполномоченного органа,</w:t>
      </w:r>
      <w:r w:rsidR="00F37DC2" w:rsidRPr="00481BE3">
        <w:rPr>
          <w:rFonts w:ascii="Times New Roman" w:hAnsi="Times New Roman" w:cs="Times New Roman"/>
          <w:sz w:val="24"/>
          <w:szCs w:val="24"/>
        </w:rPr>
        <w:t xml:space="preserve"> </w:t>
      </w:r>
      <w:r w:rsidRPr="00481BE3">
        <w:rPr>
          <w:rFonts w:ascii="Times New Roman" w:hAnsi="Times New Roman" w:cs="Times New Roman"/>
          <w:sz w:val="24"/>
          <w:szCs w:val="24"/>
        </w:rPr>
        <w:t>утвердившего производственную программу</w:t>
      </w:r>
      <w:r w:rsidR="00F37DC2" w:rsidRPr="00481BE3">
        <w:rPr>
          <w:rFonts w:ascii="Times New Roman" w:hAnsi="Times New Roman" w:cs="Times New Roman"/>
          <w:sz w:val="24"/>
          <w:szCs w:val="24"/>
        </w:rPr>
        <w:t>: администрация муниципального образования город Краснодар.</w:t>
      </w:r>
    </w:p>
    <w:p w:rsidR="00467F60" w:rsidRPr="00481BE3" w:rsidRDefault="00F37DC2" w:rsidP="00F37D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1BE3">
        <w:rPr>
          <w:rFonts w:ascii="Times New Roman" w:hAnsi="Times New Roman" w:cs="Times New Roman"/>
          <w:sz w:val="24"/>
          <w:szCs w:val="24"/>
        </w:rPr>
        <w:t>Местонахождение уполномоченного органа, утвердившего производственную пр</w:t>
      </w:r>
      <w:r w:rsidRPr="00481BE3">
        <w:rPr>
          <w:rFonts w:ascii="Times New Roman" w:hAnsi="Times New Roman" w:cs="Times New Roman"/>
          <w:sz w:val="24"/>
          <w:szCs w:val="24"/>
        </w:rPr>
        <w:t>о</w:t>
      </w:r>
      <w:r w:rsidRPr="00481BE3">
        <w:rPr>
          <w:rFonts w:ascii="Times New Roman" w:hAnsi="Times New Roman" w:cs="Times New Roman"/>
          <w:sz w:val="24"/>
          <w:szCs w:val="24"/>
        </w:rPr>
        <w:t>грамму</w:t>
      </w:r>
      <w:r w:rsidR="003C5940" w:rsidRPr="00481BE3">
        <w:rPr>
          <w:rFonts w:ascii="Times New Roman" w:hAnsi="Times New Roman" w:cs="Times New Roman"/>
          <w:sz w:val="24"/>
          <w:szCs w:val="24"/>
        </w:rPr>
        <w:t>: г</w:t>
      </w:r>
      <w:r w:rsidRPr="00481BE3">
        <w:rPr>
          <w:rFonts w:ascii="Times New Roman" w:hAnsi="Times New Roman" w:cs="Times New Roman"/>
          <w:sz w:val="24"/>
          <w:szCs w:val="24"/>
        </w:rPr>
        <w:t xml:space="preserve">ород Краснодар, ул. Красная, 122.  </w:t>
      </w:r>
    </w:p>
    <w:p w:rsidR="00467F60" w:rsidRPr="00481BE3" w:rsidRDefault="00467F60" w:rsidP="005B1A76">
      <w:pPr>
        <w:spacing w:after="0" w:line="240" w:lineRule="auto"/>
        <w:ind w:firstLine="708"/>
        <w:rPr>
          <w:rFonts w:ascii="Times New Roman" w:hAnsi="Times New Roman" w:cs="Times New Roman"/>
          <w:color w:val="FF0000"/>
          <w:sz w:val="24"/>
          <w:szCs w:val="24"/>
        </w:rPr>
      </w:pPr>
    </w:p>
    <w:p w:rsidR="00467F60" w:rsidRDefault="00467F60" w:rsidP="005B1A76">
      <w:pPr>
        <w:spacing w:after="0"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:rsidR="00E54C92" w:rsidRDefault="00E54C92" w:rsidP="00E54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C92">
        <w:rPr>
          <w:rFonts w:ascii="Times New Roman" w:hAnsi="Times New Roman" w:cs="Times New Roman"/>
          <w:b/>
          <w:sz w:val="28"/>
          <w:szCs w:val="28"/>
        </w:rPr>
        <w:t>Перечень плановых мероприятий</w:t>
      </w:r>
    </w:p>
    <w:p w:rsidR="00E54C92" w:rsidRDefault="00E54C92" w:rsidP="00E54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C92">
        <w:rPr>
          <w:rFonts w:ascii="Times New Roman" w:hAnsi="Times New Roman" w:cs="Times New Roman"/>
          <w:b/>
          <w:sz w:val="28"/>
          <w:szCs w:val="28"/>
        </w:rPr>
        <w:t xml:space="preserve"> по ремонту объектов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в сфере водоснабжения, </w:t>
      </w:r>
    </w:p>
    <w:p w:rsidR="00AD57F1" w:rsidRDefault="00E54C92" w:rsidP="00F32C5B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="00DA758F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направленных на у</w:t>
      </w:r>
      <w:r w:rsidR="00F32C5B">
        <w:rPr>
          <w:rFonts w:ascii="Times New Roman" w:hAnsi="Times New Roman" w:cs="Times New Roman"/>
          <w:b/>
          <w:sz w:val="28"/>
          <w:szCs w:val="28"/>
        </w:rPr>
        <w:t xml:space="preserve">лучшение качества питьевой </w:t>
      </w:r>
    </w:p>
    <w:p w:rsidR="00F32C5B" w:rsidRDefault="00F32C5B" w:rsidP="00F32C5B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воды,</w:t>
      </w:r>
      <w:r w:rsidRPr="00F32C5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том числе по снижению потерь воды при транспортировке</w:t>
      </w:r>
    </w:p>
    <w:p w:rsidR="00E54C92" w:rsidRDefault="00E54C92" w:rsidP="00E54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0065" w:type="dxa"/>
        <w:tblInd w:w="-176" w:type="dxa"/>
        <w:tblLook w:val="04A0"/>
      </w:tblPr>
      <w:tblGrid>
        <w:gridCol w:w="595"/>
        <w:gridCol w:w="2808"/>
        <w:gridCol w:w="3260"/>
        <w:gridCol w:w="3402"/>
      </w:tblGrid>
      <w:tr w:rsidR="00F32C5B" w:rsidRPr="006F6297" w:rsidTr="00A50946">
        <w:trPr>
          <w:trHeight w:val="1002"/>
        </w:trPr>
        <w:tc>
          <w:tcPr>
            <w:tcW w:w="595" w:type="dxa"/>
            <w:vMerge w:val="restart"/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08" w:type="dxa"/>
            <w:vMerge w:val="restart"/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3260" w:type="dxa"/>
            <w:vMerge w:val="restart"/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Финансовые потребности на реализацию мероприятий, тыс. рублей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A50946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Ожидаемый эффект,</w:t>
            </w:r>
          </w:p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297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качества о</w:t>
            </w:r>
            <w:r w:rsidRPr="006F629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6F6297">
              <w:rPr>
                <w:rFonts w:ascii="Times New Roman" w:hAnsi="Times New Roman" w:cs="Times New Roman"/>
                <w:b/>
                <w:sz w:val="24"/>
                <w:szCs w:val="24"/>
              </w:rPr>
              <w:t>служивания</w:t>
            </w: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b/>
                <w:sz w:val="24"/>
                <w:szCs w:val="24"/>
              </w:rPr>
              <w:t>абонентов</w:t>
            </w:r>
          </w:p>
        </w:tc>
      </w:tr>
      <w:tr w:rsidR="00F32C5B" w:rsidRPr="006F6297" w:rsidTr="00A50946">
        <w:trPr>
          <w:trHeight w:val="798"/>
        </w:trPr>
        <w:tc>
          <w:tcPr>
            <w:tcW w:w="595" w:type="dxa"/>
            <w:vMerge/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</w:tr>
      <w:tr w:rsidR="00F32C5B" w:rsidRPr="006F6297" w:rsidTr="00A50946">
        <w:tc>
          <w:tcPr>
            <w:tcW w:w="595" w:type="dxa"/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8" w:type="dxa"/>
            <w:vAlign w:val="center"/>
          </w:tcPr>
          <w:p w:rsidR="00F32C5B" w:rsidRPr="006F6297" w:rsidRDefault="00294FC1" w:rsidP="00294FC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32C5B" w:rsidRPr="006F6297">
              <w:rPr>
                <w:rFonts w:ascii="Times New Roman" w:hAnsi="Times New Roman" w:cs="Times New Roman"/>
                <w:sz w:val="24"/>
                <w:szCs w:val="24"/>
              </w:rPr>
              <w:t xml:space="preserve">емонт </w:t>
            </w: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питьевого вод</w:t>
            </w: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провода</w:t>
            </w:r>
          </w:p>
        </w:tc>
        <w:tc>
          <w:tcPr>
            <w:tcW w:w="3260" w:type="dxa"/>
            <w:vAlign w:val="center"/>
          </w:tcPr>
          <w:p w:rsidR="00F32C5B" w:rsidRPr="006F6297" w:rsidRDefault="00294FC1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186,526</w:t>
            </w:r>
          </w:p>
        </w:tc>
        <w:tc>
          <w:tcPr>
            <w:tcW w:w="3402" w:type="dxa"/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Сокращение перерывов в в</w:t>
            </w: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доснабжении</w:t>
            </w:r>
            <w:r w:rsidR="00294FC1" w:rsidRPr="006F6297">
              <w:rPr>
                <w:rFonts w:ascii="Times New Roman" w:hAnsi="Times New Roman" w:cs="Times New Roman"/>
                <w:sz w:val="24"/>
                <w:szCs w:val="24"/>
              </w:rPr>
              <w:t xml:space="preserve"> и потерь</w:t>
            </w:r>
          </w:p>
        </w:tc>
      </w:tr>
      <w:tr w:rsidR="00F32C5B" w:rsidRPr="006F6297" w:rsidTr="00A50946">
        <w:tc>
          <w:tcPr>
            <w:tcW w:w="595" w:type="dxa"/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60" w:type="dxa"/>
            <w:vAlign w:val="center"/>
          </w:tcPr>
          <w:p w:rsidR="00F32C5B" w:rsidRPr="006F6297" w:rsidRDefault="00294FC1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186,526</w:t>
            </w:r>
          </w:p>
        </w:tc>
        <w:tc>
          <w:tcPr>
            <w:tcW w:w="3402" w:type="dxa"/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7DC2" w:rsidRDefault="00F37DC2" w:rsidP="00F32C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217" w:rsidRDefault="009C4217" w:rsidP="00F32C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217" w:rsidRDefault="009C4217" w:rsidP="00F32C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217" w:rsidRDefault="009C4217" w:rsidP="00F32C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217" w:rsidRDefault="009C4217" w:rsidP="00F32C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2083" w:rsidRDefault="00D32083" w:rsidP="00F32C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2C5B" w:rsidRPr="006F6297" w:rsidRDefault="00F32C5B" w:rsidP="00F32C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297">
        <w:rPr>
          <w:rFonts w:ascii="Times New Roman" w:hAnsi="Times New Roman" w:cs="Times New Roman"/>
          <w:b/>
          <w:sz w:val="28"/>
          <w:szCs w:val="28"/>
        </w:rPr>
        <w:lastRenderedPageBreak/>
        <w:t>Перечень плановых мероприятий</w:t>
      </w:r>
    </w:p>
    <w:p w:rsidR="00995234" w:rsidRPr="006F6297" w:rsidRDefault="00F32C5B" w:rsidP="00F32C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297">
        <w:rPr>
          <w:rFonts w:ascii="Times New Roman" w:hAnsi="Times New Roman" w:cs="Times New Roman"/>
          <w:b/>
          <w:sz w:val="28"/>
          <w:szCs w:val="28"/>
        </w:rPr>
        <w:t xml:space="preserve">по энергосбережению и повышению энергетической эффективности </w:t>
      </w:r>
    </w:p>
    <w:p w:rsidR="00F32C5B" w:rsidRPr="006F6297" w:rsidRDefault="00F32C5B" w:rsidP="00F32C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0494" w:type="dxa"/>
        <w:tblInd w:w="-459" w:type="dxa"/>
        <w:tblLayout w:type="fixed"/>
        <w:tblLook w:val="04A0"/>
      </w:tblPr>
      <w:tblGrid>
        <w:gridCol w:w="568"/>
        <w:gridCol w:w="992"/>
        <w:gridCol w:w="1556"/>
        <w:gridCol w:w="996"/>
        <w:gridCol w:w="567"/>
        <w:gridCol w:w="992"/>
        <w:gridCol w:w="850"/>
        <w:gridCol w:w="567"/>
        <w:gridCol w:w="850"/>
        <w:gridCol w:w="851"/>
        <w:gridCol w:w="996"/>
        <w:gridCol w:w="709"/>
      </w:tblGrid>
      <w:tr w:rsidR="00333657" w:rsidRPr="006F6297" w:rsidTr="00F84EC2">
        <w:trPr>
          <w:trHeight w:val="391"/>
        </w:trPr>
        <w:tc>
          <w:tcPr>
            <w:tcW w:w="568" w:type="dxa"/>
            <w:vMerge w:val="restart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№</w:t>
            </w:r>
          </w:p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992" w:type="dxa"/>
            <w:vMerge w:val="restart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Наим</w:t>
            </w:r>
            <w:r w:rsidRPr="006F6297">
              <w:rPr>
                <w:rFonts w:ascii="Times New Roman" w:hAnsi="Times New Roman" w:cs="Times New Roman"/>
              </w:rPr>
              <w:t>е</w:t>
            </w:r>
            <w:r w:rsidRPr="006F6297">
              <w:rPr>
                <w:rFonts w:ascii="Times New Roman" w:hAnsi="Times New Roman" w:cs="Times New Roman"/>
              </w:rPr>
              <w:t>нование</w:t>
            </w:r>
          </w:p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556" w:type="dxa"/>
            <w:vMerge w:val="restart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Наименов</w:t>
            </w:r>
            <w:r w:rsidRPr="006F6297">
              <w:rPr>
                <w:rFonts w:ascii="Times New Roman" w:hAnsi="Times New Roman" w:cs="Times New Roman"/>
              </w:rPr>
              <w:t>а</w:t>
            </w:r>
            <w:r w:rsidRPr="006F6297">
              <w:rPr>
                <w:rFonts w:ascii="Times New Roman" w:hAnsi="Times New Roman" w:cs="Times New Roman"/>
              </w:rPr>
              <w:t>ние</w:t>
            </w:r>
          </w:p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972" w:type="dxa"/>
            <w:gridSpan w:val="5"/>
            <w:tcBorders>
              <w:bottom w:val="single" w:sz="4" w:space="0" w:color="auto"/>
            </w:tcBorders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Затраты на мероприятие, тыс. рублей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333657" w:rsidRPr="006F6297" w:rsidRDefault="00333657" w:rsidP="00D5685E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Суммарная</w:t>
            </w:r>
          </w:p>
          <w:p w:rsidR="00333657" w:rsidRPr="006F6297" w:rsidRDefault="00333657" w:rsidP="00D5685E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экономия</w:t>
            </w:r>
          </w:p>
        </w:tc>
        <w:tc>
          <w:tcPr>
            <w:tcW w:w="996" w:type="dxa"/>
            <w:vMerge w:val="restart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Исто</w:t>
            </w:r>
            <w:r w:rsidRPr="006F6297">
              <w:rPr>
                <w:rFonts w:ascii="Times New Roman" w:hAnsi="Times New Roman" w:cs="Times New Roman"/>
              </w:rPr>
              <w:t>ч</w:t>
            </w:r>
            <w:r w:rsidRPr="006F6297">
              <w:rPr>
                <w:rFonts w:ascii="Times New Roman" w:hAnsi="Times New Roman" w:cs="Times New Roman"/>
              </w:rPr>
              <w:t>ники фина</w:t>
            </w:r>
            <w:r w:rsidRPr="006F6297">
              <w:rPr>
                <w:rFonts w:ascii="Times New Roman" w:hAnsi="Times New Roman" w:cs="Times New Roman"/>
              </w:rPr>
              <w:t>н</w:t>
            </w:r>
            <w:r w:rsidRPr="006F6297">
              <w:rPr>
                <w:rFonts w:ascii="Times New Roman" w:hAnsi="Times New Roman" w:cs="Times New Roman"/>
              </w:rPr>
              <w:t>сиров</w:t>
            </w:r>
            <w:r w:rsidRPr="006F6297">
              <w:rPr>
                <w:rFonts w:ascii="Times New Roman" w:hAnsi="Times New Roman" w:cs="Times New Roman"/>
              </w:rPr>
              <w:t>а</w:t>
            </w:r>
            <w:r w:rsidRPr="006F6297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709" w:type="dxa"/>
            <w:vMerge w:val="restart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О</w:t>
            </w:r>
            <w:r w:rsidRPr="006F6297">
              <w:rPr>
                <w:rFonts w:ascii="Times New Roman" w:hAnsi="Times New Roman" w:cs="Times New Roman"/>
              </w:rPr>
              <w:t>т</w:t>
            </w:r>
            <w:r w:rsidRPr="006F6297">
              <w:rPr>
                <w:rFonts w:ascii="Times New Roman" w:hAnsi="Times New Roman" w:cs="Times New Roman"/>
              </w:rPr>
              <w:t>ве</w:t>
            </w:r>
            <w:r w:rsidRPr="006F6297">
              <w:rPr>
                <w:rFonts w:ascii="Times New Roman" w:hAnsi="Times New Roman" w:cs="Times New Roman"/>
              </w:rPr>
              <w:t>т</w:t>
            </w:r>
            <w:r w:rsidRPr="006F6297">
              <w:rPr>
                <w:rFonts w:ascii="Times New Roman" w:hAnsi="Times New Roman" w:cs="Times New Roman"/>
              </w:rPr>
              <w:t>ственный</w:t>
            </w:r>
          </w:p>
        </w:tc>
      </w:tr>
      <w:tr w:rsidR="00333657" w:rsidRPr="006F6297" w:rsidTr="00F84EC2">
        <w:trPr>
          <w:trHeight w:val="485"/>
        </w:trPr>
        <w:tc>
          <w:tcPr>
            <w:tcW w:w="568" w:type="dxa"/>
            <w:vMerge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</w:tcBorders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Всего</w:t>
            </w:r>
          </w:p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Merge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657" w:rsidRPr="006F6297" w:rsidTr="00F84EC2">
        <w:trPr>
          <w:trHeight w:val="470"/>
        </w:trPr>
        <w:tc>
          <w:tcPr>
            <w:tcW w:w="568" w:type="dxa"/>
            <w:vMerge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Merge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Обору</w:t>
            </w:r>
          </w:p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дование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Мате</w:t>
            </w:r>
          </w:p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риалы</w:t>
            </w:r>
          </w:p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и СМР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ПНР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тыс. кВтч/год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тыс. руб/год</w:t>
            </w:r>
          </w:p>
        </w:tc>
        <w:tc>
          <w:tcPr>
            <w:tcW w:w="996" w:type="dxa"/>
            <w:vMerge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657" w:rsidRPr="006F6297" w:rsidTr="00F84EC2">
        <w:tc>
          <w:tcPr>
            <w:tcW w:w="568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6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6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6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15</w:t>
            </w:r>
          </w:p>
        </w:tc>
      </w:tr>
      <w:tr w:rsidR="00333657" w:rsidRPr="006F6297" w:rsidTr="00F84EC2">
        <w:tc>
          <w:tcPr>
            <w:tcW w:w="568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Ар</w:t>
            </w:r>
            <w:r w:rsidRPr="006F6297">
              <w:rPr>
                <w:rFonts w:ascii="Times New Roman" w:hAnsi="Times New Roman" w:cs="Times New Roman"/>
              </w:rPr>
              <w:t>т</w:t>
            </w:r>
            <w:r w:rsidRPr="006F6297">
              <w:rPr>
                <w:rFonts w:ascii="Times New Roman" w:hAnsi="Times New Roman" w:cs="Times New Roman"/>
              </w:rPr>
              <w:t>скв</w:t>
            </w:r>
            <w:r w:rsidRPr="006F6297">
              <w:rPr>
                <w:rFonts w:ascii="Times New Roman" w:hAnsi="Times New Roman" w:cs="Times New Roman"/>
              </w:rPr>
              <w:t>а</w:t>
            </w:r>
            <w:r w:rsidRPr="006F6297">
              <w:rPr>
                <w:rFonts w:ascii="Times New Roman" w:hAnsi="Times New Roman" w:cs="Times New Roman"/>
              </w:rPr>
              <w:t>жина</w:t>
            </w:r>
            <w:r w:rsidR="00294FC1" w:rsidRPr="006F6297">
              <w:rPr>
                <w:rFonts w:ascii="Times New Roman" w:hAnsi="Times New Roman" w:cs="Times New Roman"/>
              </w:rPr>
              <w:t xml:space="preserve"> №20</w:t>
            </w:r>
          </w:p>
        </w:tc>
        <w:tc>
          <w:tcPr>
            <w:tcW w:w="1556" w:type="dxa"/>
            <w:vAlign w:val="center"/>
          </w:tcPr>
          <w:p w:rsidR="00333657" w:rsidRPr="006F6297" w:rsidRDefault="00E270B3" w:rsidP="00E27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Демонтаж насоса с в</w:t>
            </w:r>
            <w:r w:rsidRPr="006F6297">
              <w:rPr>
                <w:rFonts w:ascii="Times New Roman" w:hAnsi="Times New Roman" w:cs="Times New Roman"/>
              </w:rPr>
              <w:t>о</w:t>
            </w:r>
            <w:r w:rsidRPr="006F6297">
              <w:rPr>
                <w:rFonts w:ascii="Times New Roman" w:hAnsi="Times New Roman" w:cs="Times New Roman"/>
              </w:rPr>
              <w:t>доподъемн</w:t>
            </w:r>
            <w:r w:rsidRPr="006F6297">
              <w:rPr>
                <w:rFonts w:ascii="Times New Roman" w:hAnsi="Times New Roman" w:cs="Times New Roman"/>
              </w:rPr>
              <w:t>ы</w:t>
            </w:r>
            <w:r w:rsidRPr="006F6297">
              <w:rPr>
                <w:rFonts w:ascii="Times New Roman" w:hAnsi="Times New Roman" w:cs="Times New Roman"/>
              </w:rPr>
              <w:t>ми трубами</w:t>
            </w:r>
          </w:p>
        </w:tc>
        <w:tc>
          <w:tcPr>
            <w:tcW w:w="996" w:type="dxa"/>
            <w:vAlign w:val="center"/>
          </w:tcPr>
          <w:p w:rsidR="00333657" w:rsidRPr="006F6297" w:rsidRDefault="00294FC1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327,534</w:t>
            </w:r>
          </w:p>
        </w:tc>
        <w:tc>
          <w:tcPr>
            <w:tcW w:w="567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33657" w:rsidRPr="006F6297" w:rsidRDefault="00F80EFA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231,706</w:t>
            </w:r>
          </w:p>
        </w:tc>
        <w:tc>
          <w:tcPr>
            <w:tcW w:w="850" w:type="dxa"/>
            <w:vAlign w:val="center"/>
          </w:tcPr>
          <w:p w:rsidR="00333657" w:rsidRPr="006F6297" w:rsidRDefault="00F80EFA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95,828</w:t>
            </w:r>
          </w:p>
        </w:tc>
        <w:tc>
          <w:tcPr>
            <w:tcW w:w="567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333657" w:rsidRPr="006F6297" w:rsidRDefault="00C81A4B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29,587</w:t>
            </w:r>
          </w:p>
        </w:tc>
        <w:tc>
          <w:tcPr>
            <w:tcW w:w="851" w:type="dxa"/>
            <w:vAlign w:val="center"/>
          </w:tcPr>
          <w:p w:rsidR="00333657" w:rsidRPr="006F6297" w:rsidRDefault="00F84EC2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75,15</w:t>
            </w:r>
          </w:p>
        </w:tc>
        <w:tc>
          <w:tcPr>
            <w:tcW w:w="996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энерг</w:t>
            </w:r>
            <w:r w:rsidRPr="006F6297">
              <w:rPr>
                <w:rFonts w:ascii="Times New Roman" w:hAnsi="Times New Roman" w:cs="Times New Roman"/>
              </w:rPr>
              <w:t>е</w:t>
            </w:r>
            <w:r w:rsidRPr="006F6297">
              <w:rPr>
                <w:rFonts w:ascii="Times New Roman" w:hAnsi="Times New Roman" w:cs="Times New Roman"/>
              </w:rPr>
              <w:t>тик</w:t>
            </w:r>
          </w:p>
        </w:tc>
      </w:tr>
      <w:tr w:rsidR="00333657" w:rsidRPr="006F6297" w:rsidTr="00F84EC2">
        <w:tc>
          <w:tcPr>
            <w:tcW w:w="568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56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Align w:val="center"/>
          </w:tcPr>
          <w:p w:rsidR="00333657" w:rsidRPr="006F6297" w:rsidRDefault="006F6297" w:rsidP="00995234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327,534</w:t>
            </w:r>
          </w:p>
        </w:tc>
        <w:tc>
          <w:tcPr>
            <w:tcW w:w="567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33657" w:rsidRPr="006F6297" w:rsidRDefault="00F80EFA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231,706</w:t>
            </w:r>
          </w:p>
        </w:tc>
        <w:tc>
          <w:tcPr>
            <w:tcW w:w="850" w:type="dxa"/>
            <w:vAlign w:val="center"/>
          </w:tcPr>
          <w:p w:rsidR="00333657" w:rsidRPr="006F6297" w:rsidRDefault="00F80EFA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95,828</w:t>
            </w:r>
          </w:p>
        </w:tc>
        <w:tc>
          <w:tcPr>
            <w:tcW w:w="567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333657" w:rsidRPr="006F6297" w:rsidRDefault="00C81A4B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29,587</w:t>
            </w:r>
          </w:p>
        </w:tc>
        <w:tc>
          <w:tcPr>
            <w:tcW w:w="851" w:type="dxa"/>
            <w:vAlign w:val="center"/>
          </w:tcPr>
          <w:p w:rsidR="00333657" w:rsidRPr="006F6297" w:rsidRDefault="00F84EC2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75,15</w:t>
            </w:r>
          </w:p>
        </w:tc>
        <w:tc>
          <w:tcPr>
            <w:tcW w:w="996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333657" w:rsidRPr="006F6297" w:rsidRDefault="00333657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95234" w:rsidRPr="006F6297" w:rsidRDefault="00995234" w:rsidP="009952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5234" w:rsidRDefault="00995234" w:rsidP="00757A5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6297">
        <w:rPr>
          <w:rFonts w:ascii="Times New Roman" w:hAnsi="Times New Roman" w:cs="Times New Roman"/>
          <w:sz w:val="24"/>
          <w:szCs w:val="24"/>
        </w:rPr>
        <w:t>Внедрение мероприятий по энергосбережению и повышению энергетической эффе</w:t>
      </w:r>
      <w:r w:rsidRPr="006F6297">
        <w:rPr>
          <w:rFonts w:ascii="Times New Roman" w:hAnsi="Times New Roman" w:cs="Times New Roman"/>
          <w:sz w:val="24"/>
          <w:szCs w:val="24"/>
        </w:rPr>
        <w:t>к</w:t>
      </w:r>
      <w:r w:rsidRPr="006F6297">
        <w:rPr>
          <w:rFonts w:ascii="Times New Roman" w:hAnsi="Times New Roman" w:cs="Times New Roman"/>
          <w:sz w:val="24"/>
          <w:szCs w:val="24"/>
        </w:rPr>
        <w:t>тивности дает возможность экономить электроэнергию</w:t>
      </w:r>
      <w:r w:rsidR="00D32083">
        <w:rPr>
          <w:rFonts w:ascii="Times New Roman" w:hAnsi="Times New Roman" w:cs="Times New Roman"/>
          <w:sz w:val="24"/>
          <w:szCs w:val="24"/>
        </w:rPr>
        <w:t>.</w:t>
      </w:r>
      <w:r w:rsidRPr="006F62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2083" w:rsidRDefault="00D32083" w:rsidP="00757A5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A758F" w:rsidRPr="006F6297" w:rsidRDefault="00D32083" w:rsidP="00D320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A758F" w:rsidRPr="006F6297">
        <w:rPr>
          <w:rFonts w:ascii="Times New Roman" w:hAnsi="Times New Roman" w:cs="Times New Roman"/>
          <w:sz w:val="24"/>
          <w:szCs w:val="24"/>
        </w:rPr>
        <w:t>Расчет энергосберегающих мероприятий</w:t>
      </w:r>
      <w:r w:rsidR="00AD57F1" w:rsidRPr="006F6297">
        <w:rPr>
          <w:rFonts w:ascii="Times New Roman" w:hAnsi="Times New Roman" w:cs="Times New Roman"/>
          <w:sz w:val="24"/>
          <w:szCs w:val="24"/>
        </w:rPr>
        <w:t>.</w:t>
      </w:r>
    </w:p>
    <w:p w:rsidR="00DA758F" w:rsidRPr="006F6297" w:rsidRDefault="00DA758F" w:rsidP="00757A5C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6F6297">
        <w:rPr>
          <w:rFonts w:ascii="Times New Roman" w:hAnsi="Times New Roman" w:cs="Times New Roman"/>
          <w:sz w:val="24"/>
          <w:szCs w:val="24"/>
        </w:rPr>
        <w:t>Водозабор</w:t>
      </w:r>
      <w:r w:rsidR="00757A5C" w:rsidRPr="006F6297">
        <w:rPr>
          <w:rFonts w:ascii="Times New Roman" w:hAnsi="Times New Roman" w:cs="Times New Roman"/>
          <w:sz w:val="24"/>
          <w:szCs w:val="24"/>
        </w:rPr>
        <w:t xml:space="preserve"> </w:t>
      </w:r>
      <w:r w:rsidRPr="006F6297">
        <w:rPr>
          <w:rFonts w:ascii="Times New Roman" w:hAnsi="Times New Roman" w:cs="Times New Roman"/>
          <w:sz w:val="24"/>
          <w:szCs w:val="24"/>
        </w:rPr>
        <w:t>(Артскважина)</w:t>
      </w:r>
      <w:r w:rsidR="003212D3" w:rsidRPr="006F6297">
        <w:rPr>
          <w:rFonts w:ascii="Times New Roman" w:hAnsi="Times New Roman" w:cs="Times New Roman"/>
          <w:sz w:val="24"/>
          <w:szCs w:val="24"/>
        </w:rPr>
        <w:t>:</w:t>
      </w:r>
    </w:p>
    <w:p w:rsidR="00DA758F" w:rsidRDefault="00DA758F" w:rsidP="00DA7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6297">
        <w:rPr>
          <w:rFonts w:ascii="Times New Roman" w:hAnsi="Times New Roman" w:cs="Times New Roman"/>
          <w:sz w:val="24"/>
          <w:szCs w:val="24"/>
        </w:rPr>
        <w:t xml:space="preserve">а) </w:t>
      </w:r>
      <w:r w:rsidR="00F80EFA">
        <w:rPr>
          <w:rFonts w:ascii="Times New Roman" w:hAnsi="Times New Roman" w:cs="Times New Roman"/>
          <w:sz w:val="24"/>
          <w:szCs w:val="24"/>
        </w:rPr>
        <w:t>Демонтаж насоса с водоподъемными трубами:</w:t>
      </w:r>
    </w:p>
    <w:p w:rsidR="00F80EFA" w:rsidRPr="006F6297" w:rsidRDefault="00481BE3" w:rsidP="00DA7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80EFA">
        <w:rPr>
          <w:rFonts w:ascii="Times New Roman" w:hAnsi="Times New Roman" w:cs="Times New Roman"/>
          <w:sz w:val="24"/>
          <w:szCs w:val="24"/>
        </w:rPr>
        <w:t>ри дебете скважины  15м</w:t>
      </w:r>
      <w:r w:rsidR="00F80EFA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F80EF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F80EFA" w:rsidRPr="00F80EFA">
        <w:rPr>
          <w:rFonts w:ascii="Times New Roman" w:hAnsi="Times New Roman" w:cs="Times New Roman"/>
          <w:sz w:val="24"/>
          <w:szCs w:val="24"/>
        </w:rPr>
        <w:t xml:space="preserve">годовое  </w:t>
      </w:r>
      <w:r w:rsidR="00F80EFA">
        <w:rPr>
          <w:rFonts w:ascii="Times New Roman" w:hAnsi="Times New Roman" w:cs="Times New Roman"/>
          <w:sz w:val="24"/>
          <w:szCs w:val="24"/>
        </w:rPr>
        <w:t>электропотребление 74,0 тыс.кВт-час.</w:t>
      </w:r>
    </w:p>
    <w:p w:rsidR="00DA758F" w:rsidRDefault="00F80EFA" w:rsidP="00DA7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74000 кВт-ч  : 8760 час.= 8,45 кВт в час</w:t>
      </w:r>
    </w:p>
    <w:p w:rsidR="00F80EFA" w:rsidRPr="00F80EFA" w:rsidRDefault="00481BE3" w:rsidP="00DA7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80EFA">
        <w:rPr>
          <w:rFonts w:ascii="Times New Roman" w:hAnsi="Times New Roman" w:cs="Times New Roman"/>
          <w:sz w:val="24"/>
          <w:szCs w:val="24"/>
        </w:rPr>
        <w:t>ри дебете скважины  15м</w:t>
      </w:r>
      <w:r w:rsidR="00F80EFA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F80EF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F80EFA" w:rsidRPr="00F80EFA">
        <w:rPr>
          <w:rFonts w:ascii="Times New Roman" w:hAnsi="Times New Roman" w:cs="Times New Roman"/>
          <w:sz w:val="24"/>
          <w:szCs w:val="24"/>
        </w:rPr>
        <w:t>год</w:t>
      </w:r>
      <w:r w:rsidR="00F80EFA">
        <w:rPr>
          <w:rFonts w:ascii="Times New Roman" w:hAnsi="Times New Roman" w:cs="Times New Roman"/>
          <w:sz w:val="24"/>
          <w:szCs w:val="24"/>
        </w:rPr>
        <w:t xml:space="preserve">овая добыча </w:t>
      </w:r>
      <w:r w:rsidR="00F80EFA" w:rsidRPr="00F80EFA">
        <w:rPr>
          <w:rFonts w:ascii="Times New Roman" w:hAnsi="Times New Roman" w:cs="Times New Roman"/>
          <w:sz w:val="24"/>
          <w:szCs w:val="24"/>
        </w:rPr>
        <w:t xml:space="preserve">  </w:t>
      </w:r>
      <w:r w:rsidR="00F80EFA">
        <w:rPr>
          <w:rFonts w:ascii="Times New Roman" w:hAnsi="Times New Roman" w:cs="Times New Roman"/>
          <w:sz w:val="24"/>
          <w:szCs w:val="24"/>
        </w:rPr>
        <w:t>воды 15*8760=131400м</w:t>
      </w:r>
      <w:r w:rsidR="00F80EF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F443D0" w:rsidRPr="00F80EFA" w:rsidRDefault="00481BE3" w:rsidP="00F443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80EFA">
        <w:rPr>
          <w:rFonts w:ascii="Times New Roman" w:hAnsi="Times New Roman" w:cs="Times New Roman"/>
          <w:sz w:val="24"/>
          <w:szCs w:val="24"/>
        </w:rPr>
        <w:t xml:space="preserve">ри </w:t>
      </w:r>
      <w:r w:rsidR="00F443D0">
        <w:rPr>
          <w:rFonts w:ascii="Times New Roman" w:hAnsi="Times New Roman" w:cs="Times New Roman"/>
          <w:sz w:val="24"/>
          <w:szCs w:val="24"/>
        </w:rPr>
        <w:t>увеличении дебета скважины до 25 м</w:t>
      </w:r>
      <w:r w:rsidR="00F443D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443D0">
        <w:rPr>
          <w:rFonts w:ascii="Times New Roman" w:hAnsi="Times New Roman" w:cs="Times New Roman"/>
          <w:sz w:val="24"/>
          <w:szCs w:val="24"/>
        </w:rPr>
        <w:t>/час   для добычи  воды  131400м</w:t>
      </w:r>
      <w:r w:rsidR="00F443D0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DA758F" w:rsidRPr="00F443D0" w:rsidRDefault="00F443D0" w:rsidP="00DA7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уменьшится до 131400:25=5256 час.</w:t>
      </w:r>
    </w:p>
    <w:p w:rsidR="00DA758F" w:rsidRPr="006F6297" w:rsidRDefault="00F443D0" w:rsidP="00DA75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Среднегодовой р</w:t>
      </w:r>
      <w:r w:rsidR="00DA758F" w:rsidRPr="006F6297">
        <w:rPr>
          <w:rFonts w:ascii="Times New Roman" w:hAnsi="Times New Roman" w:cs="Times New Roman"/>
          <w:sz w:val="24"/>
          <w:szCs w:val="24"/>
        </w:rPr>
        <w:t xml:space="preserve">асход электроэнергии </w:t>
      </w:r>
      <w:r>
        <w:rPr>
          <w:rFonts w:ascii="Times New Roman" w:hAnsi="Times New Roman" w:cs="Times New Roman"/>
          <w:sz w:val="24"/>
          <w:szCs w:val="24"/>
        </w:rPr>
        <w:t xml:space="preserve"> при увеличении дебета скважины до 25</w:t>
      </w:r>
      <w:r w:rsidRPr="00F443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/час сост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вит:</w:t>
      </w:r>
    </w:p>
    <w:p w:rsidR="00DA758F" w:rsidRDefault="00F443D0" w:rsidP="003212D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8,45 кВт*5256час= 44413 кВт-час.</w:t>
      </w:r>
    </w:p>
    <w:p w:rsidR="00F443D0" w:rsidRPr="006F6297" w:rsidRDefault="00F443D0" w:rsidP="003212D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Экономия электроэнергии достигнет 74,000-44,413=29,587кВт-ч</w:t>
      </w:r>
    </w:p>
    <w:p w:rsidR="00DA758F" w:rsidRPr="006F6297" w:rsidRDefault="00DA758F" w:rsidP="008F6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97">
        <w:rPr>
          <w:rFonts w:ascii="Times New Roman" w:hAnsi="Times New Roman" w:cs="Times New Roman"/>
          <w:sz w:val="24"/>
          <w:szCs w:val="24"/>
        </w:rPr>
        <w:t xml:space="preserve">Планируемая экономия после проведения энергосберегающих мероприятий составит </w:t>
      </w:r>
      <w:r w:rsidR="00481BE3">
        <w:rPr>
          <w:rFonts w:ascii="Times New Roman" w:hAnsi="Times New Roman" w:cs="Times New Roman"/>
          <w:sz w:val="24"/>
          <w:szCs w:val="24"/>
        </w:rPr>
        <w:t>при средне</w:t>
      </w:r>
      <w:r w:rsidR="00F84EC2">
        <w:rPr>
          <w:rFonts w:ascii="Times New Roman" w:hAnsi="Times New Roman" w:cs="Times New Roman"/>
          <w:sz w:val="24"/>
          <w:szCs w:val="24"/>
        </w:rPr>
        <w:t>взвешенном</w:t>
      </w:r>
      <w:r w:rsidR="00481BE3">
        <w:rPr>
          <w:rFonts w:ascii="Times New Roman" w:hAnsi="Times New Roman" w:cs="Times New Roman"/>
          <w:sz w:val="24"/>
          <w:szCs w:val="24"/>
        </w:rPr>
        <w:t xml:space="preserve"> тарифе на электроэнергию 2,</w:t>
      </w:r>
      <w:r w:rsidR="00F84EC2">
        <w:rPr>
          <w:rFonts w:ascii="Times New Roman" w:hAnsi="Times New Roman" w:cs="Times New Roman"/>
          <w:sz w:val="24"/>
          <w:szCs w:val="24"/>
        </w:rPr>
        <w:t>54</w:t>
      </w:r>
      <w:r w:rsidR="00481BE3">
        <w:rPr>
          <w:rFonts w:ascii="Times New Roman" w:hAnsi="Times New Roman" w:cs="Times New Roman"/>
          <w:sz w:val="24"/>
          <w:szCs w:val="24"/>
        </w:rPr>
        <w:t>руб/кВт-час*29,587кВт-час=</w:t>
      </w:r>
      <w:r w:rsidR="00F84EC2">
        <w:rPr>
          <w:rFonts w:ascii="Times New Roman" w:hAnsi="Times New Roman" w:cs="Times New Roman"/>
          <w:sz w:val="24"/>
          <w:szCs w:val="24"/>
        </w:rPr>
        <w:t>75,15</w:t>
      </w:r>
      <w:r w:rsidR="00481BE3">
        <w:rPr>
          <w:rFonts w:ascii="Times New Roman" w:hAnsi="Times New Roman" w:cs="Times New Roman"/>
          <w:sz w:val="24"/>
          <w:szCs w:val="24"/>
        </w:rPr>
        <w:t xml:space="preserve"> тыс.</w:t>
      </w:r>
      <w:r w:rsidRPr="006F6297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F37DC2" w:rsidRPr="006F6297" w:rsidRDefault="00F37DC2" w:rsidP="00E54C9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6CE4" w:rsidRDefault="00E54C92" w:rsidP="00E54C9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C92">
        <w:rPr>
          <w:rFonts w:ascii="Times New Roman" w:hAnsi="Times New Roman" w:cs="Times New Roman"/>
          <w:b/>
          <w:sz w:val="28"/>
          <w:szCs w:val="28"/>
        </w:rPr>
        <w:t>Планируемый объем подачи воды</w:t>
      </w:r>
      <w:r w:rsidR="00DA758F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DA758F" w:rsidRDefault="00DA758F" w:rsidP="00DA75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 эффективности</w:t>
      </w:r>
      <w:r w:rsidRPr="00DA758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производственной программы </w:t>
      </w:r>
    </w:p>
    <w:p w:rsidR="00DA758F" w:rsidRDefault="00DA758F" w:rsidP="00E54C9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8330" w:type="dxa"/>
        <w:tblLayout w:type="fixed"/>
        <w:tblLook w:val="04A0"/>
      </w:tblPr>
      <w:tblGrid>
        <w:gridCol w:w="524"/>
        <w:gridCol w:w="2123"/>
        <w:gridCol w:w="939"/>
        <w:gridCol w:w="1143"/>
        <w:gridCol w:w="1616"/>
        <w:gridCol w:w="1985"/>
      </w:tblGrid>
      <w:tr w:rsidR="00270E0C" w:rsidTr="00270E0C">
        <w:trPr>
          <w:trHeight w:val="454"/>
        </w:trPr>
        <w:tc>
          <w:tcPr>
            <w:tcW w:w="524" w:type="dxa"/>
            <w:vMerge w:val="restart"/>
          </w:tcPr>
          <w:p w:rsidR="00270E0C" w:rsidRPr="000441E5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0441E5">
              <w:rPr>
                <w:rFonts w:ascii="Times New Roman" w:hAnsi="Times New Roman" w:cs="Times New Roman"/>
              </w:rPr>
              <w:t>№</w:t>
            </w:r>
          </w:p>
          <w:p w:rsidR="00270E0C" w:rsidRPr="000441E5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0441E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123" w:type="dxa"/>
            <w:vMerge w:val="restart"/>
          </w:tcPr>
          <w:p w:rsidR="00270E0C" w:rsidRPr="000441E5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0441E5">
              <w:rPr>
                <w:rFonts w:ascii="Times New Roman" w:hAnsi="Times New Roman" w:cs="Times New Roman"/>
              </w:rPr>
              <w:t>Показатели прои</w:t>
            </w:r>
            <w:r w:rsidRPr="000441E5">
              <w:rPr>
                <w:rFonts w:ascii="Times New Roman" w:hAnsi="Times New Roman" w:cs="Times New Roman"/>
              </w:rPr>
              <w:t>з</w:t>
            </w:r>
            <w:r w:rsidRPr="000441E5">
              <w:rPr>
                <w:rFonts w:ascii="Times New Roman" w:hAnsi="Times New Roman" w:cs="Times New Roman"/>
              </w:rPr>
              <w:t>водственной де</w:t>
            </w:r>
            <w:r w:rsidRPr="000441E5">
              <w:rPr>
                <w:rFonts w:ascii="Times New Roman" w:hAnsi="Times New Roman" w:cs="Times New Roman"/>
              </w:rPr>
              <w:t>я</w:t>
            </w:r>
            <w:r w:rsidRPr="000441E5"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939" w:type="dxa"/>
            <w:vMerge w:val="restart"/>
          </w:tcPr>
          <w:p w:rsidR="00270E0C" w:rsidRPr="000441E5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0441E5">
              <w:rPr>
                <w:rFonts w:ascii="Times New Roman" w:hAnsi="Times New Roman" w:cs="Times New Roman"/>
              </w:rPr>
              <w:t>Ед.</w:t>
            </w:r>
          </w:p>
          <w:p w:rsidR="00270E0C" w:rsidRPr="000441E5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0441E5">
              <w:rPr>
                <w:rFonts w:ascii="Times New Roman" w:hAnsi="Times New Roman" w:cs="Times New Roman"/>
              </w:rPr>
              <w:t>измер.</w:t>
            </w:r>
          </w:p>
        </w:tc>
        <w:tc>
          <w:tcPr>
            <w:tcW w:w="2759" w:type="dxa"/>
            <w:gridSpan w:val="2"/>
            <w:vMerge w:val="restart"/>
          </w:tcPr>
          <w:p w:rsidR="00270E0C" w:rsidRPr="00DA758F" w:rsidRDefault="00270E0C" w:rsidP="009952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58F">
              <w:rPr>
                <w:rFonts w:ascii="Times New Roman" w:hAnsi="Times New Roman" w:cs="Times New Roman"/>
                <w:b/>
              </w:rPr>
              <w:t xml:space="preserve">Динамика </w:t>
            </w:r>
          </w:p>
          <w:p w:rsidR="00270E0C" w:rsidRDefault="00270E0C" w:rsidP="00DA75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58F">
              <w:rPr>
                <w:rFonts w:ascii="Times New Roman" w:hAnsi="Times New Roman" w:cs="Times New Roman"/>
                <w:b/>
              </w:rPr>
              <w:t xml:space="preserve">изменения </w:t>
            </w:r>
            <w:r w:rsidRPr="003D2762">
              <w:rPr>
                <w:rFonts w:ascii="Times New Roman" w:hAnsi="Times New Roman" w:cs="Times New Roman"/>
                <w:b/>
              </w:rPr>
              <w:t>целевых</w:t>
            </w:r>
            <w:r w:rsidRPr="00DA758F">
              <w:rPr>
                <w:rFonts w:ascii="Times New Roman" w:hAnsi="Times New Roman" w:cs="Times New Roman"/>
                <w:b/>
              </w:rPr>
              <w:t xml:space="preserve"> п</w:t>
            </w:r>
            <w:r w:rsidRPr="00DA758F">
              <w:rPr>
                <w:rFonts w:ascii="Times New Roman" w:hAnsi="Times New Roman" w:cs="Times New Roman"/>
                <w:b/>
              </w:rPr>
              <w:t>о</w:t>
            </w:r>
            <w:r w:rsidRPr="00DA758F">
              <w:rPr>
                <w:rFonts w:ascii="Times New Roman" w:hAnsi="Times New Roman" w:cs="Times New Roman"/>
                <w:b/>
              </w:rPr>
              <w:t xml:space="preserve">казателей </w:t>
            </w:r>
          </w:p>
          <w:p w:rsidR="00270E0C" w:rsidRDefault="00270E0C" w:rsidP="00DA75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58F">
              <w:rPr>
                <w:rFonts w:ascii="Times New Roman" w:hAnsi="Times New Roman" w:cs="Times New Roman"/>
                <w:b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70E0C" w:rsidRPr="00DA758F" w:rsidRDefault="00F27A80" w:rsidP="00F27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270E0C" w:rsidRPr="00DA758F">
              <w:rPr>
                <w:rFonts w:ascii="Times New Roman" w:hAnsi="Times New Roman" w:cs="Times New Roman"/>
                <w:b/>
                <w:sz w:val="20"/>
                <w:szCs w:val="20"/>
              </w:rPr>
              <w:t>АО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КНПЗ-КЭН</w:t>
            </w:r>
            <w:r w:rsidR="00270E0C" w:rsidRPr="00DA758F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985" w:type="dxa"/>
            <w:vMerge w:val="restart"/>
          </w:tcPr>
          <w:p w:rsidR="00270E0C" w:rsidRPr="000441E5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0441E5">
              <w:rPr>
                <w:rFonts w:ascii="Times New Roman" w:hAnsi="Times New Roman" w:cs="Times New Roman"/>
              </w:rPr>
              <w:t xml:space="preserve">Период </w:t>
            </w:r>
          </w:p>
          <w:p w:rsidR="00270E0C" w:rsidRPr="000441E5" w:rsidRDefault="00270E0C" w:rsidP="00270E0C">
            <w:pPr>
              <w:jc w:val="center"/>
              <w:rPr>
                <w:rFonts w:ascii="Times New Roman" w:hAnsi="Times New Roman" w:cs="Times New Roman"/>
              </w:rPr>
            </w:pPr>
            <w:r w:rsidRPr="000441E5">
              <w:rPr>
                <w:rFonts w:ascii="Times New Roman" w:hAnsi="Times New Roman" w:cs="Times New Roman"/>
              </w:rPr>
              <w:t>регулиро</w:t>
            </w:r>
            <w:r>
              <w:rPr>
                <w:rFonts w:ascii="Times New Roman" w:hAnsi="Times New Roman" w:cs="Times New Roman"/>
              </w:rPr>
              <w:t xml:space="preserve">вания </w:t>
            </w:r>
            <w:r w:rsidRPr="000441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2014</w:t>
            </w:r>
            <w:r w:rsidRPr="000441E5">
              <w:rPr>
                <w:rFonts w:ascii="Times New Roman" w:hAnsi="Times New Roman" w:cs="Times New Roman"/>
              </w:rPr>
              <w:t>г.</w:t>
            </w:r>
          </w:p>
        </w:tc>
      </w:tr>
      <w:tr w:rsidR="00270E0C" w:rsidTr="00270E0C">
        <w:trPr>
          <w:trHeight w:val="597"/>
        </w:trPr>
        <w:tc>
          <w:tcPr>
            <w:tcW w:w="524" w:type="dxa"/>
            <w:vMerge/>
          </w:tcPr>
          <w:p w:rsidR="00270E0C" w:rsidRPr="000441E5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3" w:type="dxa"/>
            <w:vMerge/>
          </w:tcPr>
          <w:p w:rsidR="00270E0C" w:rsidRPr="000441E5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vMerge/>
          </w:tcPr>
          <w:p w:rsidR="00270E0C" w:rsidRPr="000441E5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9" w:type="dxa"/>
            <w:gridSpan w:val="2"/>
            <w:vMerge/>
            <w:tcBorders>
              <w:bottom w:val="single" w:sz="4" w:space="0" w:color="auto"/>
            </w:tcBorders>
          </w:tcPr>
          <w:p w:rsidR="00270E0C" w:rsidRPr="000441E5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270E0C" w:rsidRPr="000441E5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E0C" w:rsidRPr="006D5F86" w:rsidTr="00270E0C">
        <w:tc>
          <w:tcPr>
            <w:tcW w:w="524" w:type="dxa"/>
            <w:vAlign w:val="center"/>
          </w:tcPr>
          <w:p w:rsidR="00270E0C" w:rsidRPr="004A1648" w:rsidRDefault="00270E0C" w:rsidP="00270E0C">
            <w:pPr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3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9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3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6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6</w:t>
            </w:r>
          </w:p>
        </w:tc>
      </w:tr>
      <w:tr w:rsidR="00270E0C" w:rsidTr="00270E0C">
        <w:tc>
          <w:tcPr>
            <w:tcW w:w="524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3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2011 г.</w:t>
            </w:r>
          </w:p>
        </w:tc>
        <w:tc>
          <w:tcPr>
            <w:tcW w:w="1616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2012 г.</w:t>
            </w:r>
          </w:p>
        </w:tc>
        <w:tc>
          <w:tcPr>
            <w:tcW w:w="1985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E0C" w:rsidTr="00270E0C">
        <w:tc>
          <w:tcPr>
            <w:tcW w:w="524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3" w:type="dxa"/>
            <w:vAlign w:val="center"/>
          </w:tcPr>
          <w:p w:rsidR="00270E0C" w:rsidRPr="004A1648" w:rsidRDefault="00270E0C" w:rsidP="00995234">
            <w:pPr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Объем выработки воды</w:t>
            </w:r>
          </w:p>
        </w:tc>
        <w:tc>
          <w:tcPr>
            <w:tcW w:w="939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тыс.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</w:p>
        </w:tc>
        <w:tc>
          <w:tcPr>
            <w:tcW w:w="1143" w:type="dxa"/>
            <w:vAlign w:val="center"/>
          </w:tcPr>
          <w:p w:rsidR="00270E0C" w:rsidRPr="00B573D7" w:rsidRDefault="00B573D7" w:rsidP="00995234">
            <w:pPr>
              <w:jc w:val="center"/>
              <w:rPr>
                <w:rFonts w:ascii="Times New Roman" w:hAnsi="Times New Roman" w:cs="Times New Roman"/>
              </w:rPr>
            </w:pPr>
            <w:r w:rsidRPr="00B573D7">
              <w:rPr>
                <w:rFonts w:ascii="Times New Roman" w:hAnsi="Times New Roman" w:cs="Times New Roman"/>
              </w:rPr>
              <w:t>350,010</w:t>
            </w:r>
          </w:p>
        </w:tc>
        <w:tc>
          <w:tcPr>
            <w:tcW w:w="1616" w:type="dxa"/>
            <w:vAlign w:val="center"/>
          </w:tcPr>
          <w:p w:rsidR="00270E0C" w:rsidRPr="004A1648" w:rsidRDefault="00F27A80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377,815</w:t>
            </w:r>
          </w:p>
        </w:tc>
        <w:tc>
          <w:tcPr>
            <w:tcW w:w="1985" w:type="dxa"/>
            <w:vAlign w:val="center"/>
          </w:tcPr>
          <w:p w:rsidR="00270E0C" w:rsidRPr="004A1648" w:rsidRDefault="00F27A80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331,392</w:t>
            </w:r>
          </w:p>
        </w:tc>
      </w:tr>
      <w:tr w:rsidR="00270E0C" w:rsidTr="00270E0C">
        <w:tc>
          <w:tcPr>
            <w:tcW w:w="524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3" w:type="dxa"/>
            <w:vAlign w:val="center"/>
          </w:tcPr>
          <w:p w:rsidR="00270E0C" w:rsidRPr="004A1648" w:rsidRDefault="00270E0C" w:rsidP="00995234">
            <w:pPr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Объем воды, и</w:t>
            </w:r>
            <w:r w:rsidRPr="004A1648">
              <w:rPr>
                <w:rFonts w:ascii="Times New Roman" w:hAnsi="Times New Roman" w:cs="Times New Roman"/>
              </w:rPr>
              <w:t>с</w:t>
            </w:r>
            <w:r w:rsidRPr="004A1648">
              <w:rPr>
                <w:rFonts w:ascii="Times New Roman" w:hAnsi="Times New Roman" w:cs="Times New Roman"/>
              </w:rPr>
              <w:t>пользуемый на со</w:t>
            </w:r>
            <w:r w:rsidRPr="004A1648">
              <w:rPr>
                <w:rFonts w:ascii="Times New Roman" w:hAnsi="Times New Roman" w:cs="Times New Roman"/>
              </w:rPr>
              <w:t>б</w:t>
            </w:r>
            <w:r w:rsidRPr="004A1648">
              <w:rPr>
                <w:rFonts w:ascii="Times New Roman" w:hAnsi="Times New Roman" w:cs="Times New Roman"/>
              </w:rPr>
              <w:t>ственные нужды</w:t>
            </w:r>
          </w:p>
        </w:tc>
        <w:tc>
          <w:tcPr>
            <w:tcW w:w="939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тыс.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</w:p>
        </w:tc>
        <w:tc>
          <w:tcPr>
            <w:tcW w:w="1143" w:type="dxa"/>
            <w:vAlign w:val="center"/>
          </w:tcPr>
          <w:p w:rsidR="00270E0C" w:rsidRPr="00B573D7" w:rsidRDefault="00B573D7" w:rsidP="00995234">
            <w:pPr>
              <w:jc w:val="center"/>
              <w:rPr>
                <w:rFonts w:ascii="Times New Roman" w:hAnsi="Times New Roman" w:cs="Times New Roman"/>
              </w:rPr>
            </w:pPr>
            <w:r w:rsidRPr="00B573D7">
              <w:rPr>
                <w:rFonts w:ascii="Times New Roman" w:hAnsi="Times New Roman" w:cs="Times New Roman"/>
              </w:rPr>
              <w:t>341,423</w:t>
            </w:r>
          </w:p>
        </w:tc>
        <w:tc>
          <w:tcPr>
            <w:tcW w:w="1616" w:type="dxa"/>
            <w:vAlign w:val="center"/>
          </w:tcPr>
          <w:p w:rsidR="00270E0C" w:rsidRPr="004A1648" w:rsidRDefault="00F27A80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368,610</w:t>
            </w:r>
          </w:p>
        </w:tc>
        <w:tc>
          <w:tcPr>
            <w:tcW w:w="1985" w:type="dxa"/>
            <w:vAlign w:val="center"/>
          </w:tcPr>
          <w:p w:rsidR="00270E0C" w:rsidRPr="004A1648" w:rsidRDefault="00F27A80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322,427</w:t>
            </w:r>
          </w:p>
        </w:tc>
      </w:tr>
      <w:tr w:rsidR="00270E0C" w:rsidTr="00270E0C">
        <w:tc>
          <w:tcPr>
            <w:tcW w:w="524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3" w:type="dxa"/>
            <w:vAlign w:val="center"/>
          </w:tcPr>
          <w:p w:rsidR="00270E0C" w:rsidRPr="004A1648" w:rsidRDefault="00270E0C" w:rsidP="00995234">
            <w:pPr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Объем воды, пр</w:t>
            </w:r>
            <w:r w:rsidRPr="004A1648">
              <w:rPr>
                <w:rFonts w:ascii="Times New Roman" w:hAnsi="Times New Roman" w:cs="Times New Roman"/>
              </w:rPr>
              <w:t>о</w:t>
            </w:r>
            <w:r w:rsidRPr="004A1648">
              <w:rPr>
                <w:rFonts w:ascii="Times New Roman" w:hAnsi="Times New Roman" w:cs="Times New Roman"/>
              </w:rPr>
              <w:t xml:space="preserve">пущенной через </w:t>
            </w:r>
            <w:r w:rsidRPr="004A1648">
              <w:rPr>
                <w:rFonts w:ascii="Times New Roman" w:hAnsi="Times New Roman" w:cs="Times New Roman"/>
              </w:rPr>
              <w:lastRenderedPageBreak/>
              <w:t>очистные сооруж</w:t>
            </w:r>
            <w:r w:rsidRPr="004A1648">
              <w:rPr>
                <w:rFonts w:ascii="Times New Roman" w:hAnsi="Times New Roman" w:cs="Times New Roman"/>
              </w:rPr>
              <w:t>е</w:t>
            </w:r>
            <w:r w:rsidRPr="004A164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939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lastRenderedPageBreak/>
              <w:t>тыс.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</w:p>
        </w:tc>
        <w:tc>
          <w:tcPr>
            <w:tcW w:w="1143" w:type="dxa"/>
            <w:vAlign w:val="center"/>
          </w:tcPr>
          <w:p w:rsidR="00270E0C" w:rsidRPr="00B573D7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B573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6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70E0C" w:rsidTr="00270E0C">
        <w:tc>
          <w:tcPr>
            <w:tcW w:w="524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123" w:type="dxa"/>
            <w:vAlign w:val="center"/>
          </w:tcPr>
          <w:p w:rsidR="00270E0C" w:rsidRPr="004A1648" w:rsidRDefault="00270E0C" w:rsidP="00995234">
            <w:pPr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Объем отпуска в сеть</w:t>
            </w:r>
          </w:p>
        </w:tc>
        <w:tc>
          <w:tcPr>
            <w:tcW w:w="939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тыс.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</w:p>
        </w:tc>
        <w:tc>
          <w:tcPr>
            <w:tcW w:w="1143" w:type="dxa"/>
            <w:vAlign w:val="center"/>
          </w:tcPr>
          <w:p w:rsidR="00270E0C" w:rsidRPr="00B573D7" w:rsidRDefault="00B573D7" w:rsidP="00995234">
            <w:pPr>
              <w:jc w:val="center"/>
              <w:rPr>
                <w:rFonts w:ascii="Times New Roman" w:hAnsi="Times New Roman" w:cs="Times New Roman"/>
              </w:rPr>
            </w:pPr>
            <w:r w:rsidRPr="00B573D7">
              <w:rPr>
                <w:rFonts w:ascii="Times New Roman" w:hAnsi="Times New Roman" w:cs="Times New Roman"/>
              </w:rPr>
              <w:t>350,010</w:t>
            </w:r>
          </w:p>
        </w:tc>
        <w:tc>
          <w:tcPr>
            <w:tcW w:w="1616" w:type="dxa"/>
            <w:vAlign w:val="center"/>
          </w:tcPr>
          <w:p w:rsidR="00270E0C" w:rsidRPr="004A1648" w:rsidRDefault="00F27A80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377,815</w:t>
            </w:r>
          </w:p>
        </w:tc>
        <w:tc>
          <w:tcPr>
            <w:tcW w:w="1985" w:type="dxa"/>
            <w:vAlign w:val="center"/>
          </w:tcPr>
          <w:p w:rsidR="00270E0C" w:rsidRPr="004A1648" w:rsidRDefault="00F27A80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331,392</w:t>
            </w:r>
          </w:p>
        </w:tc>
      </w:tr>
      <w:tr w:rsidR="00270E0C" w:rsidTr="00270E0C">
        <w:tc>
          <w:tcPr>
            <w:tcW w:w="524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3" w:type="dxa"/>
            <w:vAlign w:val="center"/>
          </w:tcPr>
          <w:p w:rsidR="00270E0C" w:rsidRPr="004A1648" w:rsidRDefault="00270E0C" w:rsidP="00995234">
            <w:pPr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Объем потерь</w:t>
            </w:r>
          </w:p>
        </w:tc>
        <w:tc>
          <w:tcPr>
            <w:tcW w:w="939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тыс.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</w:p>
        </w:tc>
        <w:tc>
          <w:tcPr>
            <w:tcW w:w="1143" w:type="dxa"/>
            <w:vAlign w:val="center"/>
          </w:tcPr>
          <w:p w:rsidR="00270E0C" w:rsidRPr="00B573D7" w:rsidRDefault="00A81432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6,880</w:t>
            </w:r>
          </w:p>
        </w:tc>
        <w:tc>
          <w:tcPr>
            <w:tcW w:w="1616" w:type="dxa"/>
            <w:vAlign w:val="center"/>
          </w:tcPr>
          <w:p w:rsidR="00270E0C" w:rsidRPr="004A1648" w:rsidRDefault="00F27A80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7,517</w:t>
            </w:r>
          </w:p>
        </w:tc>
        <w:tc>
          <w:tcPr>
            <w:tcW w:w="1985" w:type="dxa"/>
            <w:vAlign w:val="center"/>
          </w:tcPr>
          <w:p w:rsidR="00270E0C" w:rsidRPr="004A1648" w:rsidRDefault="00F27A80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6,663</w:t>
            </w:r>
          </w:p>
        </w:tc>
      </w:tr>
      <w:tr w:rsidR="00270E0C" w:rsidTr="00270E0C">
        <w:tc>
          <w:tcPr>
            <w:tcW w:w="524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3" w:type="dxa"/>
            <w:vAlign w:val="center"/>
          </w:tcPr>
          <w:p w:rsidR="00270E0C" w:rsidRPr="004A1648" w:rsidRDefault="00270E0C" w:rsidP="00995234">
            <w:pPr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Уровень потерь к объему отпущенной воды в сеть</w:t>
            </w:r>
          </w:p>
        </w:tc>
        <w:tc>
          <w:tcPr>
            <w:tcW w:w="939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43" w:type="dxa"/>
            <w:vAlign w:val="center"/>
          </w:tcPr>
          <w:p w:rsidR="00270E0C" w:rsidRPr="00B573D7" w:rsidRDefault="00B573D7" w:rsidP="00A81432">
            <w:pPr>
              <w:jc w:val="center"/>
              <w:rPr>
                <w:rFonts w:ascii="Times New Roman" w:hAnsi="Times New Roman" w:cs="Times New Roman"/>
              </w:rPr>
            </w:pPr>
            <w:r w:rsidRPr="00B573D7">
              <w:rPr>
                <w:rFonts w:ascii="Times New Roman" w:hAnsi="Times New Roman" w:cs="Times New Roman"/>
              </w:rPr>
              <w:t>1,9</w:t>
            </w:r>
            <w:r w:rsidR="00A8143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16" w:type="dxa"/>
            <w:vAlign w:val="center"/>
          </w:tcPr>
          <w:p w:rsidR="00270E0C" w:rsidRPr="004A1648" w:rsidRDefault="00F27A80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1,99</w:t>
            </w:r>
          </w:p>
        </w:tc>
        <w:tc>
          <w:tcPr>
            <w:tcW w:w="1985" w:type="dxa"/>
            <w:vAlign w:val="center"/>
          </w:tcPr>
          <w:p w:rsidR="00270E0C" w:rsidRPr="004A1648" w:rsidRDefault="00F27A80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2,01</w:t>
            </w:r>
          </w:p>
        </w:tc>
      </w:tr>
      <w:tr w:rsidR="00270E0C" w:rsidTr="00270E0C">
        <w:tc>
          <w:tcPr>
            <w:tcW w:w="524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3" w:type="dxa"/>
            <w:vAlign w:val="center"/>
          </w:tcPr>
          <w:p w:rsidR="00270E0C" w:rsidRPr="004A1648" w:rsidRDefault="00270E0C" w:rsidP="00995234">
            <w:pPr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Объем реализации товаров и услуг, в т.ч по потребителям</w:t>
            </w:r>
          </w:p>
        </w:tc>
        <w:tc>
          <w:tcPr>
            <w:tcW w:w="939" w:type="dxa"/>
          </w:tcPr>
          <w:p w:rsidR="00270E0C" w:rsidRDefault="00270E0C" w:rsidP="00995234">
            <w:r w:rsidRPr="00972686">
              <w:rPr>
                <w:rFonts w:ascii="Times New Roman" w:hAnsi="Times New Roman" w:cs="Times New Roman"/>
              </w:rPr>
              <w:t>тыс.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</w:p>
        </w:tc>
        <w:tc>
          <w:tcPr>
            <w:tcW w:w="1143" w:type="dxa"/>
            <w:vAlign w:val="center"/>
          </w:tcPr>
          <w:p w:rsidR="00270E0C" w:rsidRPr="00B573D7" w:rsidRDefault="00B573D7" w:rsidP="00995234">
            <w:pPr>
              <w:jc w:val="center"/>
              <w:rPr>
                <w:rFonts w:ascii="Times New Roman" w:hAnsi="Times New Roman" w:cs="Times New Roman"/>
              </w:rPr>
            </w:pPr>
            <w:r w:rsidRPr="00B573D7">
              <w:rPr>
                <w:rFonts w:ascii="Times New Roman" w:hAnsi="Times New Roman" w:cs="Times New Roman"/>
              </w:rPr>
              <w:t>1,707</w:t>
            </w:r>
          </w:p>
        </w:tc>
        <w:tc>
          <w:tcPr>
            <w:tcW w:w="1616" w:type="dxa"/>
            <w:vAlign w:val="center"/>
          </w:tcPr>
          <w:p w:rsidR="00270E0C" w:rsidRPr="004A1648" w:rsidRDefault="00F27A80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1,688</w:t>
            </w:r>
          </w:p>
        </w:tc>
        <w:tc>
          <w:tcPr>
            <w:tcW w:w="1985" w:type="dxa"/>
            <w:vAlign w:val="center"/>
          </w:tcPr>
          <w:p w:rsidR="00270E0C" w:rsidRPr="004A1648" w:rsidRDefault="00F27A80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2,302</w:t>
            </w:r>
          </w:p>
        </w:tc>
      </w:tr>
      <w:tr w:rsidR="00270E0C" w:rsidTr="00270E0C">
        <w:tc>
          <w:tcPr>
            <w:tcW w:w="524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2123" w:type="dxa"/>
            <w:vAlign w:val="center"/>
          </w:tcPr>
          <w:p w:rsidR="00270E0C" w:rsidRPr="004A1648" w:rsidRDefault="00270E0C" w:rsidP="00995234">
            <w:pPr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- населению</w:t>
            </w:r>
          </w:p>
        </w:tc>
        <w:tc>
          <w:tcPr>
            <w:tcW w:w="939" w:type="dxa"/>
          </w:tcPr>
          <w:p w:rsidR="00270E0C" w:rsidRDefault="00270E0C" w:rsidP="00995234">
            <w:r w:rsidRPr="00972686">
              <w:rPr>
                <w:rFonts w:ascii="Times New Roman" w:hAnsi="Times New Roman" w:cs="Times New Roman"/>
              </w:rPr>
              <w:t>тыс.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</w:p>
        </w:tc>
        <w:tc>
          <w:tcPr>
            <w:tcW w:w="1143" w:type="dxa"/>
            <w:vAlign w:val="center"/>
          </w:tcPr>
          <w:p w:rsidR="00270E0C" w:rsidRPr="00B573D7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B573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6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70E0C" w:rsidTr="00270E0C">
        <w:tc>
          <w:tcPr>
            <w:tcW w:w="524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2123" w:type="dxa"/>
            <w:vAlign w:val="center"/>
          </w:tcPr>
          <w:p w:rsidR="00270E0C" w:rsidRPr="004A1648" w:rsidRDefault="00270E0C" w:rsidP="00995234">
            <w:pPr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- бюджетным п</w:t>
            </w:r>
            <w:r w:rsidRPr="004A1648">
              <w:rPr>
                <w:rFonts w:ascii="Times New Roman" w:hAnsi="Times New Roman" w:cs="Times New Roman"/>
              </w:rPr>
              <w:t>о</w:t>
            </w:r>
            <w:r w:rsidRPr="004A1648">
              <w:rPr>
                <w:rFonts w:ascii="Times New Roman" w:hAnsi="Times New Roman" w:cs="Times New Roman"/>
              </w:rPr>
              <w:t>требителям</w:t>
            </w:r>
          </w:p>
        </w:tc>
        <w:tc>
          <w:tcPr>
            <w:tcW w:w="939" w:type="dxa"/>
          </w:tcPr>
          <w:p w:rsidR="00270E0C" w:rsidRDefault="00270E0C" w:rsidP="00995234">
            <w:r w:rsidRPr="00972686">
              <w:rPr>
                <w:rFonts w:ascii="Times New Roman" w:hAnsi="Times New Roman" w:cs="Times New Roman"/>
              </w:rPr>
              <w:t>тыс.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</w:p>
        </w:tc>
        <w:tc>
          <w:tcPr>
            <w:tcW w:w="1143" w:type="dxa"/>
            <w:vAlign w:val="center"/>
          </w:tcPr>
          <w:p w:rsidR="00270E0C" w:rsidRPr="00B573D7" w:rsidRDefault="00B573D7" w:rsidP="00995234">
            <w:pPr>
              <w:jc w:val="center"/>
              <w:rPr>
                <w:rFonts w:ascii="Times New Roman" w:hAnsi="Times New Roman" w:cs="Times New Roman"/>
              </w:rPr>
            </w:pPr>
            <w:r w:rsidRPr="00B573D7">
              <w:rPr>
                <w:rFonts w:ascii="Times New Roman" w:hAnsi="Times New Roman" w:cs="Times New Roman"/>
              </w:rPr>
              <w:t>1,239</w:t>
            </w:r>
          </w:p>
        </w:tc>
        <w:tc>
          <w:tcPr>
            <w:tcW w:w="1616" w:type="dxa"/>
            <w:vAlign w:val="center"/>
          </w:tcPr>
          <w:p w:rsidR="00270E0C" w:rsidRPr="004A1648" w:rsidRDefault="00F27A80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0,973</w:t>
            </w:r>
          </w:p>
        </w:tc>
        <w:tc>
          <w:tcPr>
            <w:tcW w:w="1985" w:type="dxa"/>
            <w:vAlign w:val="center"/>
          </w:tcPr>
          <w:p w:rsidR="00270E0C" w:rsidRPr="004A1648" w:rsidRDefault="00F27A80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1,440</w:t>
            </w:r>
          </w:p>
        </w:tc>
      </w:tr>
      <w:tr w:rsidR="00270E0C" w:rsidTr="00270E0C">
        <w:tc>
          <w:tcPr>
            <w:tcW w:w="524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2123" w:type="dxa"/>
            <w:vAlign w:val="center"/>
          </w:tcPr>
          <w:p w:rsidR="00270E0C" w:rsidRPr="004A1648" w:rsidRDefault="00270E0C" w:rsidP="00995234">
            <w:pPr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- прочим потреб</w:t>
            </w:r>
            <w:r w:rsidRPr="004A1648">
              <w:rPr>
                <w:rFonts w:ascii="Times New Roman" w:hAnsi="Times New Roman" w:cs="Times New Roman"/>
              </w:rPr>
              <w:t>и</w:t>
            </w:r>
            <w:r w:rsidRPr="004A1648">
              <w:rPr>
                <w:rFonts w:ascii="Times New Roman" w:hAnsi="Times New Roman" w:cs="Times New Roman"/>
              </w:rPr>
              <w:t>телям</w:t>
            </w:r>
          </w:p>
        </w:tc>
        <w:tc>
          <w:tcPr>
            <w:tcW w:w="939" w:type="dxa"/>
          </w:tcPr>
          <w:p w:rsidR="00270E0C" w:rsidRDefault="00270E0C" w:rsidP="00995234">
            <w:r w:rsidRPr="00972686">
              <w:rPr>
                <w:rFonts w:ascii="Times New Roman" w:hAnsi="Times New Roman" w:cs="Times New Roman"/>
              </w:rPr>
              <w:t>тыс.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</w:p>
        </w:tc>
        <w:tc>
          <w:tcPr>
            <w:tcW w:w="1143" w:type="dxa"/>
            <w:vAlign w:val="center"/>
          </w:tcPr>
          <w:p w:rsidR="00270E0C" w:rsidRPr="00B573D7" w:rsidRDefault="00B573D7" w:rsidP="00995234">
            <w:pPr>
              <w:jc w:val="center"/>
              <w:rPr>
                <w:rFonts w:ascii="Times New Roman" w:hAnsi="Times New Roman" w:cs="Times New Roman"/>
              </w:rPr>
            </w:pPr>
            <w:r w:rsidRPr="00B573D7">
              <w:rPr>
                <w:rFonts w:ascii="Times New Roman" w:hAnsi="Times New Roman" w:cs="Times New Roman"/>
              </w:rPr>
              <w:t>0,468</w:t>
            </w:r>
          </w:p>
        </w:tc>
        <w:tc>
          <w:tcPr>
            <w:tcW w:w="1616" w:type="dxa"/>
            <w:vAlign w:val="center"/>
          </w:tcPr>
          <w:p w:rsidR="00270E0C" w:rsidRPr="004A1648" w:rsidRDefault="00F27A80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0,715</w:t>
            </w:r>
          </w:p>
        </w:tc>
        <w:tc>
          <w:tcPr>
            <w:tcW w:w="1985" w:type="dxa"/>
            <w:vAlign w:val="center"/>
          </w:tcPr>
          <w:p w:rsidR="00270E0C" w:rsidRPr="004A1648" w:rsidRDefault="00F27A80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0,862</w:t>
            </w:r>
          </w:p>
        </w:tc>
      </w:tr>
    </w:tbl>
    <w:p w:rsidR="00DA758F" w:rsidRDefault="00526CE4" w:rsidP="00AD57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B1A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697F" w:rsidRPr="00A9604D" w:rsidRDefault="001963A7" w:rsidP="001963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3A7">
        <w:rPr>
          <w:rFonts w:ascii="Times New Roman" w:hAnsi="Times New Roman" w:cs="Times New Roman"/>
          <w:b/>
          <w:sz w:val="28"/>
          <w:szCs w:val="28"/>
        </w:rPr>
        <w:t>Объем финансовых потребностей, необходимых для реализации пр</w:t>
      </w:r>
      <w:r w:rsidRPr="001963A7">
        <w:rPr>
          <w:rFonts w:ascii="Times New Roman" w:hAnsi="Times New Roman" w:cs="Times New Roman"/>
          <w:b/>
          <w:sz w:val="28"/>
          <w:szCs w:val="28"/>
        </w:rPr>
        <w:t>о</w:t>
      </w:r>
      <w:r w:rsidRPr="001963A7">
        <w:rPr>
          <w:rFonts w:ascii="Times New Roman" w:hAnsi="Times New Roman" w:cs="Times New Roman"/>
          <w:b/>
          <w:sz w:val="28"/>
          <w:szCs w:val="28"/>
        </w:rPr>
        <w:t xml:space="preserve">изводственной программы </w:t>
      </w:r>
      <w:r w:rsidR="00481BE3">
        <w:rPr>
          <w:rFonts w:ascii="Times New Roman" w:hAnsi="Times New Roman" w:cs="Times New Roman"/>
          <w:b/>
          <w:sz w:val="28"/>
          <w:szCs w:val="28"/>
        </w:rPr>
        <w:t>–</w:t>
      </w:r>
      <w:r w:rsidR="00A960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1BE3">
        <w:rPr>
          <w:rFonts w:ascii="Times New Roman" w:hAnsi="Times New Roman" w:cs="Times New Roman"/>
          <w:sz w:val="28"/>
          <w:szCs w:val="28"/>
        </w:rPr>
        <w:t>514,060</w:t>
      </w:r>
      <w:r w:rsidR="00A9604D" w:rsidRPr="00A9604D">
        <w:rPr>
          <w:rFonts w:ascii="Times New Roman" w:hAnsi="Times New Roman" w:cs="Times New Roman"/>
          <w:sz w:val="28"/>
          <w:szCs w:val="28"/>
        </w:rPr>
        <w:t xml:space="preserve"> </w:t>
      </w:r>
      <w:r w:rsidRPr="00A9604D">
        <w:rPr>
          <w:rFonts w:ascii="Times New Roman" w:hAnsi="Times New Roman" w:cs="Times New Roman"/>
          <w:sz w:val="28"/>
          <w:szCs w:val="28"/>
        </w:rPr>
        <w:t>тыс. рублей</w:t>
      </w:r>
    </w:p>
    <w:p w:rsidR="001963A7" w:rsidRDefault="001963A7" w:rsidP="00AD57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758F" w:rsidRDefault="00DA758F" w:rsidP="00DA75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BD5">
        <w:rPr>
          <w:rFonts w:ascii="Times New Roman" w:hAnsi="Times New Roman" w:cs="Times New Roman"/>
          <w:b/>
          <w:sz w:val="28"/>
          <w:szCs w:val="28"/>
        </w:rPr>
        <w:t>График реализации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0AAE">
        <w:rPr>
          <w:rFonts w:ascii="Times New Roman" w:hAnsi="Times New Roman" w:cs="Times New Roman"/>
          <w:b/>
          <w:sz w:val="28"/>
          <w:szCs w:val="28"/>
        </w:rPr>
        <w:t>-</w:t>
      </w:r>
      <w:r w:rsidRPr="00852FB1">
        <w:rPr>
          <w:rFonts w:ascii="Times New Roman" w:hAnsi="Times New Roman" w:cs="Times New Roman"/>
          <w:sz w:val="28"/>
          <w:szCs w:val="28"/>
        </w:rPr>
        <w:t xml:space="preserve"> 2014, соответствует</w:t>
      </w:r>
      <w:r>
        <w:rPr>
          <w:rFonts w:ascii="Times New Roman" w:hAnsi="Times New Roman" w:cs="Times New Roman"/>
          <w:sz w:val="28"/>
          <w:szCs w:val="28"/>
        </w:rPr>
        <w:t xml:space="preserve"> сроку реализ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</w:t>
      </w:r>
      <w:r w:rsidRPr="00852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2FB1">
        <w:rPr>
          <w:rFonts w:ascii="Times New Roman" w:hAnsi="Times New Roman" w:cs="Times New Roman"/>
          <w:sz w:val="28"/>
          <w:szCs w:val="28"/>
        </w:rPr>
        <w:t xml:space="preserve">производственной программы </w:t>
      </w:r>
      <w:r w:rsidR="0078649F">
        <w:rPr>
          <w:rFonts w:ascii="Times New Roman" w:hAnsi="Times New Roman" w:cs="Times New Roman"/>
          <w:sz w:val="28"/>
          <w:szCs w:val="28"/>
        </w:rPr>
        <w:t>З</w:t>
      </w:r>
      <w:r w:rsidRPr="00852FB1">
        <w:rPr>
          <w:rFonts w:ascii="Times New Roman" w:hAnsi="Times New Roman" w:cs="Times New Roman"/>
          <w:sz w:val="28"/>
          <w:szCs w:val="28"/>
        </w:rPr>
        <w:t>АО «</w:t>
      </w:r>
      <w:r w:rsidR="0078649F">
        <w:rPr>
          <w:rFonts w:ascii="Times New Roman" w:hAnsi="Times New Roman" w:cs="Times New Roman"/>
          <w:sz w:val="28"/>
          <w:szCs w:val="28"/>
        </w:rPr>
        <w:t>КНПЗ-КЭН</w:t>
      </w:r>
      <w:r w:rsidRPr="00852FB1">
        <w:rPr>
          <w:rFonts w:ascii="Times New Roman" w:hAnsi="Times New Roman" w:cs="Times New Roman"/>
          <w:sz w:val="28"/>
          <w:szCs w:val="28"/>
        </w:rPr>
        <w:t>» в сфере водоснабжения.</w:t>
      </w:r>
    </w:p>
    <w:p w:rsidR="00AD57F1" w:rsidRDefault="00AD57F1" w:rsidP="00DA75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5700" w:rsidRPr="007C240B" w:rsidRDefault="00E15700" w:rsidP="00E157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40B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деятельности</w:t>
      </w:r>
    </w:p>
    <w:p w:rsidR="00E15700" w:rsidRPr="008A708A" w:rsidRDefault="00E15700" w:rsidP="00E157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8AF">
        <w:rPr>
          <w:rFonts w:ascii="Times New Roman" w:hAnsi="Times New Roman" w:cs="Times New Roman"/>
          <w:b/>
          <w:sz w:val="28"/>
          <w:szCs w:val="28"/>
        </w:rPr>
        <w:t>ЗАО «КНПЗ-КЭН» в сфере</w:t>
      </w:r>
      <w:r w:rsidRPr="008A708A">
        <w:rPr>
          <w:rFonts w:ascii="Times New Roman" w:hAnsi="Times New Roman" w:cs="Times New Roman"/>
          <w:b/>
          <w:sz w:val="28"/>
          <w:szCs w:val="28"/>
        </w:rPr>
        <w:t xml:space="preserve"> холодного водоснабжения </w:t>
      </w:r>
    </w:p>
    <w:p w:rsidR="00E15700" w:rsidRPr="002779DB" w:rsidRDefault="00E15700" w:rsidP="00E15700">
      <w:pPr>
        <w:pStyle w:val="a8"/>
        <w:ind w:left="142" w:firstLine="566"/>
        <w:rPr>
          <w:rFonts w:ascii="Times New Roman" w:hAnsi="Times New Roman" w:cs="Times New Roman"/>
          <w:b/>
          <w:sz w:val="28"/>
          <w:szCs w:val="28"/>
        </w:rPr>
      </w:pPr>
    </w:p>
    <w:p w:rsidR="00E15700" w:rsidRPr="00E15700" w:rsidRDefault="00E15700" w:rsidP="00E1570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5700">
        <w:rPr>
          <w:rFonts w:ascii="Times New Roman" w:hAnsi="Times New Roman" w:cs="Times New Roman"/>
          <w:sz w:val="28"/>
          <w:szCs w:val="28"/>
        </w:rPr>
        <w:t>В связи с тем, что Правила формирования целевых показателей деятел</w:t>
      </w:r>
      <w:r w:rsidRPr="00E15700">
        <w:rPr>
          <w:rFonts w:ascii="Times New Roman" w:hAnsi="Times New Roman" w:cs="Times New Roman"/>
          <w:sz w:val="28"/>
          <w:szCs w:val="28"/>
        </w:rPr>
        <w:t>ь</w:t>
      </w:r>
      <w:r w:rsidRPr="00E15700">
        <w:rPr>
          <w:rFonts w:ascii="Times New Roman" w:hAnsi="Times New Roman" w:cs="Times New Roman"/>
          <w:sz w:val="28"/>
          <w:szCs w:val="28"/>
        </w:rPr>
        <w:t>ности организаций, осуществляющих горячее водоснабжение, холодное вод</w:t>
      </w:r>
      <w:r w:rsidRPr="00E15700">
        <w:rPr>
          <w:rFonts w:ascii="Times New Roman" w:hAnsi="Times New Roman" w:cs="Times New Roman"/>
          <w:sz w:val="28"/>
          <w:szCs w:val="28"/>
        </w:rPr>
        <w:t>о</w:t>
      </w:r>
      <w:r w:rsidRPr="00E15700">
        <w:rPr>
          <w:rFonts w:ascii="Times New Roman" w:hAnsi="Times New Roman" w:cs="Times New Roman"/>
          <w:sz w:val="28"/>
          <w:szCs w:val="28"/>
        </w:rPr>
        <w:t>снабжение и (или) водоотведение, и их расчета, перечень целевых п</w:t>
      </w:r>
      <w:r w:rsidRPr="00E15700">
        <w:rPr>
          <w:rFonts w:ascii="Times New Roman" w:hAnsi="Times New Roman" w:cs="Times New Roman"/>
          <w:sz w:val="28"/>
          <w:szCs w:val="28"/>
        </w:rPr>
        <w:t>о</w:t>
      </w:r>
      <w:r w:rsidRPr="00E15700">
        <w:rPr>
          <w:rFonts w:ascii="Times New Roman" w:hAnsi="Times New Roman" w:cs="Times New Roman"/>
          <w:sz w:val="28"/>
          <w:szCs w:val="28"/>
        </w:rPr>
        <w:t>казателей, предусмотренные частью 2 статьи 39  Федерального закона от 07.12.2011 № 416-ФЗ «О водоснабжении и водоотведении» уполномоче</w:t>
      </w:r>
      <w:r w:rsidRPr="00E15700">
        <w:rPr>
          <w:rFonts w:ascii="Times New Roman" w:hAnsi="Times New Roman" w:cs="Times New Roman"/>
          <w:sz w:val="28"/>
          <w:szCs w:val="28"/>
        </w:rPr>
        <w:t>н</w:t>
      </w:r>
      <w:r w:rsidRPr="00E15700">
        <w:rPr>
          <w:rFonts w:ascii="Times New Roman" w:hAnsi="Times New Roman" w:cs="Times New Roman"/>
          <w:sz w:val="28"/>
          <w:szCs w:val="28"/>
        </w:rPr>
        <w:t>ным федеральным органом исполнительной власти не установлены, целевые показатели деятел</w:t>
      </w:r>
      <w:r w:rsidRPr="00E15700">
        <w:rPr>
          <w:rFonts w:ascii="Times New Roman" w:hAnsi="Times New Roman" w:cs="Times New Roman"/>
          <w:sz w:val="28"/>
          <w:szCs w:val="28"/>
        </w:rPr>
        <w:t>ь</w:t>
      </w:r>
      <w:r w:rsidRPr="00E15700">
        <w:rPr>
          <w:rFonts w:ascii="Times New Roman" w:hAnsi="Times New Roman" w:cs="Times New Roman"/>
          <w:sz w:val="28"/>
          <w:szCs w:val="28"/>
        </w:rPr>
        <w:t>ности ЗАО «КНПЗ-КЭН»</w:t>
      </w:r>
      <w:r w:rsidRPr="00E157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5700">
        <w:rPr>
          <w:rFonts w:ascii="Times New Roman" w:hAnsi="Times New Roman" w:cs="Times New Roman"/>
          <w:sz w:val="28"/>
          <w:szCs w:val="28"/>
        </w:rPr>
        <w:t>в данной производственной программе не определ</w:t>
      </w:r>
      <w:r w:rsidRPr="00E15700">
        <w:rPr>
          <w:rFonts w:ascii="Times New Roman" w:hAnsi="Times New Roman" w:cs="Times New Roman"/>
          <w:sz w:val="28"/>
          <w:szCs w:val="28"/>
        </w:rPr>
        <w:t>е</w:t>
      </w:r>
      <w:r w:rsidRPr="00E15700">
        <w:rPr>
          <w:rFonts w:ascii="Times New Roman" w:hAnsi="Times New Roman" w:cs="Times New Roman"/>
          <w:sz w:val="28"/>
          <w:szCs w:val="28"/>
        </w:rPr>
        <w:t>ны.</w:t>
      </w:r>
    </w:p>
    <w:p w:rsidR="00E15700" w:rsidRPr="00092738" w:rsidRDefault="00E15700" w:rsidP="00E15700">
      <w:pPr>
        <w:pStyle w:val="a8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092738">
        <w:rPr>
          <w:rFonts w:ascii="Times New Roman" w:hAnsi="Times New Roman" w:cs="Times New Roman"/>
          <w:sz w:val="28"/>
          <w:szCs w:val="28"/>
        </w:rPr>
        <w:t>В связи с отсутствием целевых показателей деятельности ЗАО «КНПЗ-КЭН» необходимых для сопоставления динамики их изменения и расходов на реализацию производственной программы в течение срока ее действия, расчет эффективности данной производственной программы не произведен.</w:t>
      </w:r>
    </w:p>
    <w:p w:rsidR="00E15700" w:rsidRDefault="00E15700" w:rsidP="00E15700">
      <w:pPr>
        <w:pStyle w:val="a8"/>
        <w:widowControl w:val="0"/>
        <w:suppressAutoHyphens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5700" w:rsidRDefault="00F37DC2" w:rsidP="003465E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об исполнении производственной программы</w:t>
      </w:r>
      <w:r w:rsidR="00E157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7DC2" w:rsidRDefault="00F37DC2" w:rsidP="003465E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истекший период регулирования </w:t>
      </w:r>
    </w:p>
    <w:p w:rsidR="002B55B1" w:rsidRDefault="00F37DC2" w:rsidP="003465E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(за истекший год долгосрочного периода регулирования)</w:t>
      </w:r>
    </w:p>
    <w:p w:rsidR="009313AA" w:rsidRDefault="009313AA" w:rsidP="009313A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47C" w:rsidRDefault="0020647C" w:rsidP="00E15700">
      <w:pPr>
        <w:pStyle w:val="a8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647C">
        <w:rPr>
          <w:rFonts w:ascii="Times New Roman" w:hAnsi="Times New Roman" w:cs="Times New Roman"/>
          <w:sz w:val="24"/>
          <w:szCs w:val="24"/>
        </w:rPr>
        <w:t>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с утвержденной производственной программой по предоставлению услуг водоснабжения на 2012 год от 20.10.2011г. </w:t>
      </w:r>
      <w:r w:rsidRPr="00F3456B">
        <w:rPr>
          <w:rFonts w:ascii="Times New Roman" w:hAnsi="Times New Roman" w:cs="Times New Roman"/>
          <w:b/>
          <w:sz w:val="24"/>
          <w:szCs w:val="24"/>
        </w:rPr>
        <w:t xml:space="preserve">планом </w:t>
      </w:r>
      <w:r>
        <w:rPr>
          <w:rFonts w:ascii="Times New Roman" w:hAnsi="Times New Roman" w:cs="Times New Roman"/>
          <w:sz w:val="24"/>
          <w:szCs w:val="24"/>
        </w:rPr>
        <w:t>мероприятий по повышению э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фективности деятельности ЗАО «КНПЗ-КЭН» в сфере водоснабжения были запланированы следующие мероприятия:</w:t>
      </w:r>
    </w:p>
    <w:p w:rsidR="0020647C" w:rsidRDefault="0020647C" w:rsidP="0020647C">
      <w:pPr>
        <w:pStyle w:val="a8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Реконструкция скважины №1  -  2100,000 тыс.руб.</w:t>
      </w:r>
    </w:p>
    <w:p w:rsidR="0020647C" w:rsidRDefault="0020647C" w:rsidP="0020647C">
      <w:pPr>
        <w:pStyle w:val="a8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 питьевого водопровода -    50,000  тыс.руб.</w:t>
      </w:r>
    </w:p>
    <w:p w:rsidR="00F3456B" w:rsidRDefault="00F3456B" w:rsidP="00F3456B">
      <w:pPr>
        <w:pStyle w:val="a8"/>
        <w:ind w:left="16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 е го :                                       - 2150,000 тыс.рублей</w:t>
      </w:r>
    </w:p>
    <w:p w:rsidR="0020647C" w:rsidRPr="00300FDB" w:rsidRDefault="0020647C" w:rsidP="00F3456B">
      <w:pPr>
        <w:pStyle w:val="a8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 рассмотрении и установлении тарифа на услуги водоснабжения</w:t>
      </w:r>
      <w:r w:rsidR="00300FDB">
        <w:rPr>
          <w:rFonts w:ascii="Times New Roman" w:hAnsi="Times New Roman" w:cs="Times New Roman"/>
          <w:sz w:val="24"/>
          <w:szCs w:val="24"/>
        </w:rPr>
        <w:t xml:space="preserve"> для ЗАО «КНПЗ-КЭН» специалистами Управления цен и тарифов, в калькуляцию по статье «Ремонт и техн</w:t>
      </w:r>
      <w:r w:rsidR="00300FDB">
        <w:rPr>
          <w:rFonts w:ascii="Times New Roman" w:hAnsi="Times New Roman" w:cs="Times New Roman"/>
          <w:sz w:val="24"/>
          <w:szCs w:val="24"/>
        </w:rPr>
        <w:t>и</w:t>
      </w:r>
      <w:r w:rsidR="00300FDB">
        <w:rPr>
          <w:rFonts w:ascii="Times New Roman" w:hAnsi="Times New Roman" w:cs="Times New Roman"/>
          <w:sz w:val="24"/>
          <w:szCs w:val="24"/>
        </w:rPr>
        <w:t xml:space="preserve">ческое обслуживание (капитальный ремонт» была включена сумма </w:t>
      </w:r>
      <w:r w:rsidR="00300FDB" w:rsidRPr="00300FDB">
        <w:rPr>
          <w:rFonts w:ascii="Times New Roman" w:hAnsi="Times New Roman" w:cs="Times New Roman"/>
          <w:b/>
          <w:sz w:val="24"/>
          <w:szCs w:val="24"/>
        </w:rPr>
        <w:t>186,14 тыс.рублей</w:t>
      </w:r>
      <w:r w:rsidR="00300FD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00FDB">
        <w:rPr>
          <w:rFonts w:ascii="Times New Roman" w:hAnsi="Times New Roman" w:cs="Times New Roman"/>
          <w:sz w:val="24"/>
          <w:szCs w:val="24"/>
        </w:rPr>
        <w:t>Включение заниженных затрат на выполнение ремонтных работ в тариф на услуги вод</w:t>
      </w:r>
      <w:r w:rsidR="00300FDB">
        <w:rPr>
          <w:rFonts w:ascii="Times New Roman" w:hAnsi="Times New Roman" w:cs="Times New Roman"/>
          <w:sz w:val="24"/>
          <w:szCs w:val="24"/>
        </w:rPr>
        <w:t>о</w:t>
      </w:r>
      <w:r w:rsidR="00300FDB">
        <w:rPr>
          <w:rFonts w:ascii="Times New Roman" w:hAnsi="Times New Roman" w:cs="Times New Roman"/>
          <w:sz w:val="24"/>
          <w:szCs w:val="24"/>
        </w:rPr>
        <w:t xml:space="preserve">снабжения  связан  </w:t>
      </w:r>
      <w:r w:rsidR="00F356C6">
        <w:rPr>
          <w:rFonts w:ascii="Times New Roman" w:hAnsi="Times New Roman" w:cs="Times New Roman"/>
          <w:sz w:val="24"/>
          <w:szCs w:val="24"/>
        </w:rPr>
        <w:t>с</w:t>
      </w:r>
      <w:r w:rsidR="00300FDB">
        <w:rPr>
          <w:rFonts w:ascii="Times New Roman" w:hAnsi="Times New Roman" w:cs="Times New Roman"/>
          <w:sz w:val="24"/>
          <w:szCs w:val="24"/>
        </w:rPr>
        <w:t xml:space="preserve"> предельным индексом  максимально  возможного увеличения тарифа (в пределах 12%), установленным ФСТ России.</w:t>
      </w:r>
    </w:p>
    <w:tbl>
      <w:tblPr>
        <w:tblW w:w="10065" w:type="dxa"/>
        <w:tblInd w:w="-176" w:type="dxa"/>
        <w:tblBorders>
          <w:insideV w:val="single" w:sz="4" w:space="0" w:color="auto"/>
        </w:tblBorders>
        <w:tblLook w:val="04A0"/>
      </w:tblPr>
      <w:tblGrid>
        <w:gridCol w:w="10065"/>
      </w:tblGrid>
      <w:tr w:rsidR="0070304D" w:rsidRPr="006F6297" w:rsidTr="00300FDB">
        <w:tc>
          <w:tcPr>
            <w:tcW w:w="10065" w:type="dxa"/>
            <w:hideMark/>
          </w:tcPr>
          <w:p w:rsidR="0070304D" w:rsidRPr="006F6297" w:rsidRDefault="00300FDB" w:rsidP="00300FDB">
            <w:pPr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П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>роанализировав необходимость проведения реконструкции скважины №1 сотрудн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>ками ЗАО «КНПЗ-КЭН» был выполнен расчет баланса водопотребления ЗАО «КНПЗ-КЭН», включая потребность в артезианской воде сторонних организаций, было принято решение о нецелесообразности выполнения работы по реконструкции скважины №1 по причине обесп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>чения необходимым объемом добытой артезианской воды действующими на сегодняшний день артезианскими скважинами</w:t>
            </w:r>
            <w:r w:rsidR="007030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 xml:space="preserve"> как на нужды завода, так и для нужд сторонних потребит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 xml:space="preserve">лей.  </w:t>
            </w:r>
          </w:p>
          <w:p w:rsidR="0070304D" w:rsidRDefault="00F3456B" w:rsidP="00300FDB">
            <w:pPr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>В связи с изложенным, работа по реконструкции скважины №1 не выполнялась, соотве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70304D">
              <w:rPr>
                <w:rFonts w:ascii="Times New Roman" w:hAnsi="Times New Roman" w:cs="Times New Roman"/>
                <w:sz w:val="24"/>
                <w:szCs w:val="24"/>
              </w:rPr>
              <w:t>венно, затраты не проводились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факту 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 xml:space="preserve"> в 2012 году был выполнен ремонт артезианской скважины №19, которая участвует в питьевом водоснабжении потребителей, стоимость в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 xml:space="preserve">полнения работы составила </w:t>
            </w:r>
            <w:r w:rsidR="0070304D" w:rsidRPr="00F3456B">
              <w:rPr>
                <w:rFonts w:ascii="Times New Roman" w:hAnsi="Times New Roman" w:cs="Times New Roman"/>
                <w:b/>
                <w:sz w:val="24"/>
                <w:szCs w:val="24"/>
              </w:rPr>
              <w:t>212 602,82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="00D32083">
              <w:rPr>
                <w:rFonts w:ascii="Times New Roman" w:hAnsi="Times New Roman" w:cs="Times New Roman"/>
                <w:sz w:val="24"/>
                <w:szCs w:val="24"/>
              </w:rPr>
              <w:t xml:space="preserve"> Таким образом, перерасход относительно принятой в калькуляции  суммы  по статье «Ремонт и техническое обслуживание (капитальный ремонт) составил 26,46 тыс.рублей.</w:t>
            </w:r>
          </w:p>
          <w:tbl>
            <w:tblPr>
              <w:tblStyle w:val="a7"/>
              <w:tblW w:w="9527" w:type="dxa"/>
              <w:tblLook w:val="04A0"/>
            </w:tblPr>
            <w:tblGrid>
              <w:gridCol w:w="674"/>
              <w:gridCol w:w="2728"/>
              <w:gridCol w:w="2923"/>
              <w:gridCol w:w="1693"/>
              <w:gridCol w:w="1509"/>
            </w:tblGrid>
            <w:tr w:rsidR="00D32083" w:rsidTr="007C3DE3">
              <w:trPr>
                <w:trHeight w:val="1896"/>
              </w:trPr>
              <w:tc>
                <w:tcPr>
                  <w:tcW w:w="674" w:type="dxa"/>
                  <w:vAlign w:val="center"/>
                </w:tcPr>
                <w:p w:rsidR="00D32083" w:rsidRDefault="00D32083" w:rsidP="007C3DE3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№№ пп</w:t>
                  </w:r>
                </w:p>
              </w:tc>
              <w:tc>
                <w:tcPr>
                  <w:tcW w:w="2728" w:type="dxa"/>
                </w:tcPr>
                <w:p w:rsidR="00D32083" w:rsidRDefault="00D32083" w:rsidP="00D32083">
                  <w:pPr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45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план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мероприятий по повышению эффекти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ности деятельности ЗАО «КНПЗ-КЭН» по утвержденной прои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водственной программе</w:t>
                  </w:r>
                </w:p>
              </w:tc>
              <w:tc>
                <w:tcPr>
                  <w:tcW w:w="2923" w:type="dxa"/>
                </w:tcPr>
                <w:p w:rsidR="00D32083" w:rsidRDefault="00D32083" w:rsidP="007C3DE3">
                  <w:pPr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456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план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мероприятий по п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вышению эффективности деятельности ЗАО «КНПЗ-КЭН»</w:t>
                  </w:r>
                  <w:r w:rsidR="007C3DE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прин</w:t>
                  </w:r>
                  <w:r w:rsidR="007C3D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</w:t>
                  </w:r>
                  <w:r w:rsidR="007C3D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той  специалистами Управления цен и тар</w:t>
                  </w:r>
                  <w:r w:rsidR="007C3D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="007C3D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фов калькуляции</w:t>
                  </w:r>
                </w:p>
              </w:tc>
              <w:tc>
                <w:tcPr>
                  <w:tcW w:w="1693" w:type="dxa"/>
                  <w:vAlign w:val="center"/>
                </w:tcPr>
                <w:p w:rsidR="00D32083" w:rsidRDefault="007C3DE3" w:rsidP="007C3DE3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Факт выпо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нения, тыс.рублей</w:t>
                  </w:r>
                </w:p>
              </w:tc>
              <w:tc>
                <w:tcPr>
                  <w:tcW w:w="1509" w:type="dxa"/>
                  <w:vAlign w:val="center"/>
                </w:tcPr>
                <w:p w:rsidR="00D32083" w:rsidRDefault="007C3DE3" w:rsidP="007C3DE3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Отклонение, тыс. рублей</w:t>
                  </w:r>
                </w:p>
              </w:tc>
            </w:tr>
            <w:tr w:rsidR="007C3DE3" w:rsidTr="007C3DE3">
              <w:trPr>
                <w:trHeight w:val="411"/>
              </w:trPr>
              <w:tc>
                <w:tcPr>
                  <w:tcW w:w="674" w:type="dxa"/>
                  <w:vAlign w:val="center"/>
                </w:tcPr>
                <w:p w:rsidR="007C3DE3" w:rsidRDefault="007C3DE3" w:rsidP="007C3DE3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28" w:type="dxa"/>
                  <w:vAlign w:val="center"/>
                </w:tcPr>
                <w:p w:rsidR="007C3DE3" w:rsidRPr="00F3456B" w:rsidRDefault="007C3DE3" w:rsidP="007C3DE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2150,000</w:t>
                  </w:r>
                </w:p>
              </w:tc>
              <w:tc>
                <w:tcPr>
                  <w:tcW w:w="2923" w:type="dxa"/>
                  <w:vAlign w:val="center"/>
                </w:tcPr>
                <w:p w:rsidR="007C3DE3" w:rsidRPr="00F3456B" w:rsidRDefault="007C3DE3" w:rsidP="007C3DE3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186,14</w:t>
                  </w:r>
                </w:p>
              </w:tc>
              <w:tc>
                <w:tcPr>
                  <w:tcW w:w="1693" w:type="dxa"/>
                  <w:vAlign w:val="center"/>
                </w:tcPr>
                <w:p w:rsidR="007C3DE3" w:rsidRDefault="007C3DE3" w:rsidP="007C3DE3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212,60</w:t>
                  </w:r>
                </w:p>
              </w:tc>
              <w:tc>
                <w:tcPr>
                  <w:tcW w:w="1509" w:type="dxa"/>
                  <w:vAlign w:val="center"/>
                </w:tcPr>
                <w:p w:rsidR="007C3DE3" w:rsidRDefault="007C3DE3" w:rsidP="007C3DE3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26,46</w:t>
                  </w:r>
                </w:p>
              </w:tc>
            </w:tr>
          </w:tbl>
          <w:p w:rsidR="00D32083" w:rsidRPr="006F6297" w:rsidRDefault="00D32083" w:rsidP="00300FDB">
            <w:pPr>
              <w:ind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304D" w:rsidRPr="006F6297" w:rsidRDefault="00F3456B" w:rsidP="00300FDB">
            <w:pPr>
              <w:ind w:firstLine="284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В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>ыполнение ремонта питьевого водопровода было произведено в 2012 году собственными силами без привлечения подрядной организаци</w:t>
            </w:r>
            <w:r w:rsidR="007030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0304D" w:rsidRPr="006F6297" w:rsidTr="00300FDB">
        <w:tc>
          <w:tcPr>
            <w:tcW w:w="10065" w:type="dxa"/>
            <w:hideMark/>
          </w:tcPr>
          <w:p w:rsidR="0070304D" w:rsidRPr="006F6297" w:rsidRDefault="00F3456B" w:rsidP="00300FDB">
            <w:pPr>
              <w:ind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>В связи с тем, что проведение реконструкции скважины № 1 нецелесообразно, как указано выше, выполнение данной работы в 2013 году также проводит</w:t>
            </w:r>
            <w:r w:rsidR="0070304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 xml:space="preserve">ся не будет. </w:t>
            </w:r>
          </w:p>
          <w:p w:rsidR="0070304D" w:rsidRPr="006F6297" w:rsidRDefault="00F3456B" w:rsidP="00300FDB">
            <w:pPr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ремонту питьевого трубопровода инв. №560/1 запланировано на о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>тябрь</w:t>
            </w:r>
            <w:r w:rsidR="0070304D">
              <w:rPr>
                <w:rFonts w:ascii="Times New Roman" w:hAnsi="Times New Roman" w:cs="Times New Roman"/>
                <w:sz w:val="24"/>
                <w:szCs w:val="24"/>
              </w:rPr>
              <w:t xml:space="preserve">-ноябрь 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 xml:space="preserve"> 2013 года, а именно, выполнение согласно ППР (плана предупредительных р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0304D" w:rsidRPr="006F6297">
              <w:rPr>
                <w:rFonts w:ascii="Times New Roman" w:hAnsi="Times New Roman" w:cs="Times New Roman"/>
                <w:sz w:val="24"/>
                <w:szCs w:val="24"/>
              </w:rPr>
              <w:t xml:space="preserve">монтов) собственными силами предприятия, стоимость выполнения работ по плану 95 932,0 руб. </w:t>
            </w:r>
          </w:p>
        </w:tc>
      </w:tr>
      <w:tr w:rsidR="0070304D" w:rsidRPr="006F6297" w:rsidTr="00300FDB">
        <w:tc>
          <w:tcPr>
            <w:tcW w:w="10065" w:type="dxa"/>
            <w:hideMark/>
          </w:tcPr>
          <w:p w:rsidR="0070304D" w:rsidRPr="006F6297" w:rsidRDefault="0070304D" w:rsidP="00300FDB">
            <w:pPr>
              <w:ind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В </w:t>
            </w: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июле 2013 года был выполнен ремонт артезианской скважины №18, которая участвует в питьевом водоснабжении потребителей, стоимость выполнения работы составила 311 920,62 руб. Согласно ППР выполнение ремонта питьевого трубопровода запланировано на октябрь 2013 года.</w:t>
            </w:r>
          </w:p>
        </w:tc>
      </w:tr>
    </w:tbl>
    <w:p w:rsidR="0070304D" w:rsidRPr="006F6297" w:rsidRDefault="0070304D" w:rsidP="0070304D">
      <w:pPr>
        <w:pStyle w:val="a8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304D" w:rsidRPr="006F6297" w:rsidRDefault="0070304D" w:rsidP="0070304D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304D" w:rsidRPr="00852FB1" w:rsidRDefault="0070304D" w:rsidP="007030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304D" w:rsidRPr="006F6297" w:rsidRDefault="0070304D" w:rsidP="0070304D">
      <w:pPr>
        <w:pStyle w:val="a8"/>
        <w:rPr>
          <w:rFonts w:ascii="Times New Roman" w:hAnsi="Times New Roman" w:cs="Times New Roman"/>
          <w:sz w:val="28"/>
          <w:szCs w:val="28"/>
        </w:rPr>
      </w:pPr>
      <w:r w:rsidRPr="006F6297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70304D" w:rsidRPr="006F6297" w:rsidRDefault="0070304D" w:rsidP="00703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297">
        <w:rPr>
          <w:rFonts w:ascii="Times New Roman" w:hAnsi="Times New Roman" w:cs="Times New Roman"/>
          <w:sz w:val="28"/>
          <w:szCs w:val="28"/>
        </w:rPr>
        <w:t xml:space="preserve">ЗАО «КНПЗ-КЭН»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F6297">
        <w:rPr>
          <w:rFonts w:ascii="Times New Roman" w:hAnsi="Times New Roman" w:cs="Times New Roman"/>
          <w:sz w:val="28"/>
          <w:szCs w:val="28"/>
        </w:rPr>
        <w:t xml:space="preserve">  В.М.Данилец</w:t>
      </w:r>
    </w:p>
    <w:p w:rsidR="0070304D" w:rsidRDefault="0070304D" w:rsidP="0070304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0304D" w:rsidRDefault="0070304D" w:rsidP="0070304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W w:w="8941" w:type="dxa"/>
        <w:tblInd w:w="98" w:type="dxa"/>
        <w:tblLayout w:type="fixed"/>
        <w:tblLook w:val="04A0"/>
      </w:tblPr>
      <w:tblGrid>
        <w:gridCol w:w="666"/>
        <w:gridCol w:w="7141"/>
        <w:gridCol w:w="1134"/>
      </w:tblGrid>
      <w:tr w:rsidR="009313AA" w:rsidRPr="003465ED" w:rsidTr="0070304D">
        <w:trPr>
          <w:trHeight w:val="255"/>
        </w:trPr>
        <w:tc>
          <w:tcPr>
            <w:tcW w:w="666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 w:val="restart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93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450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 w:val="restart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450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 w:val="restart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C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450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ind w:firstLineChars="900" w:firstLine="16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 w:val="restart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8941" w:type="dxa"/>
            <w:gridSpan w:val="3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 w:val="restart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46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46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 w:val="restart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F632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CF632A" w:rsidRPr="003465ED" w:rsidRDefault="00CF632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CF632A" w:rsidRPr="003465ED" w:rsidRDefault="00CF632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F632A" w:rsidRPr="003465ED" w:rsidRDefault="00CF632A" w:rsidP="006F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F632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CF632A" w:rsidRPr="003465ED" w:rsidRDefault="00CF632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CF632A" w:rsidRPr="003465ED" w:rsidRDefault="00CF632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F632A" w:rsidRPr="003465ED" w:rsidRDefault="00CF632A" w:rsidP="006F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F632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CF632A" w:rsidRPr="003465ED" w:rsidRDefault="00CF632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CF632A" w:rsidRPr="003465ED" w:rsidRDefault="00CF632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F632A" w:rsidRPr="003465ED" w:rsidRDefault="00CF632A" w:rsidP="006F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F632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CF632A" w:rsidRPr="003465ED" w:rsidRDefault="00CF632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CF632A" w:rsidRPr="003465ED" w:rsidRDefault="00CF632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F632A" w:rsidRPr="003465ED" w:rsidRDefault="00CF632A" w:rsidP="006F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465"/>
        </w:trPr>
        <w:tc>
          <w:tcPr>
            <w:tcW w:w="666" w:type="dxa"/>
            <w:vMerge w:val="restart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CF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8941" w:type="dxa"/>
            <w:gridSpan w:val="3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 w:val="restart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 w:val="restart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 w:val="restart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313AA" w:rsidRPr="003465ED" w:rsidTr="0070304D">
        <w:trPr>
          <w:trHeight w:val="255"/>
        </w:trPr>
        <w:tc>
          <w:tcPr>
            <w:tcW w:w="666" w:type="dxa"/>
            <w:vMerge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1" w:type="dxa"/>
            <w:shd w:val="clear" w:color="auto" w:fill="auto"/>
            <w:vAlign w:val="bottom"/>
            <w:hideMark/>
          </w:tcPr>
          <w:p w:rsidR="009313AA" w:rsidRPr="003465ED" w:rsidRDefault="009313AA" w:rsidP="00A432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13AA" w:rsidRPr="003465ED" w:rsidRDefault="009313AA" w:rsidP="00A43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9313AA" w:rsidRDefault="009313AA" w:rsidP="009313A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5B1" w:rsidRDefault="002B55B1" w:rsidP="00A83177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B55B1" w:rsidRDefault="002B55B1" w:rsidP="00A83177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2B55B1" w:rsidSect="00326585">
      <w:headerReference w:type="default" r:id="rId8"/>
      <w:pgSz w:w="11906" w:h="16838"/>
      <w:pgMar w:top="284" w:right="566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F79" w:rsidRDefault="00A86F79" w:rsidP="00840263">
      <w:pPr>
        <w:spacing w:after="0" w:line="240" w:lineRule="auto"/>
      </w:pPr>
      <w:r>
        <w:separator/>
      </w:r>
    </w:p>
  </w:endnote>
  <w:endnote w:type="continuationSeparator" w:id="1">
    <w:p w:rsidR="00A86F79" w:rsidRDefault="00A86F79" w:rsidP="00840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F79" w:rsidRDefault="00A86F79" w:rsidP="00840263">
      <w:pPr>
        <w:spacing w:after="0" w:line="240" w:lineRule="auto"/>
      </w:pPr>
      <w:r>
        <w:separator/>
      </w:r>
    </w:p>
  </w:footnote>
  <w:footnote w:type="continuationSeparator" w:id="1">
    <w:p w:rsidR="00A86F79" w:rsidRDefault="00A86F79" w:rsidP="00840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187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1846" w:rsidRPr="004574C6" w:rsidRDefault="00891846" w:rsidP="004574C6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574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574C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574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15700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4574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1846" w:rsidRDefault="0089184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640A8"/>
    <w:multiLevelType w:val="hybridMultilevel"/>
    <w:tmpl w:val="016E1324"/>
    <w:lvl w:ilvl="0" w:tplc="1CF2F538">
      <w:start w:val="1"/>
      <w:numFmt w:val="decimal"/>
      <w:lvlText w:val="%1."/>
      <w:lvlJc w:val="left"/>
      <w:pPr>
        <w:ind w:left="1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8" w:hanging="360"/>
      </w:pPr>
    </w:lvl>
    <w:lvl w:ilvl="2" w:tplc="0419001B" w:tentative="1">
      <w:start w:val="1"/>
      <w:numFmt w:val="lowerRoman"/>
      <w:lvlText w:val="%3."/>
      <w:lvlJc w:val="right"/>
      <w:pPr>
        <w:ind w:left="3108" w:hanging="180"/>
      </w:pPr>
    </w:lvl>
    <w:lvl w:ilvl="3" w:tplc="0419000F" w:tentative="1">
      <w:start w:val="1"/>
      <w:numFmt w:val="decimal"/>
      <w:lvlText w:val="%4."/>
      <w:lvlJc w:val="left"/>
      <w:pPr>
        <w:ind w:left="3828" w:hanging="360"/>
      </w:pPr>
    </w:lvl>
    <w:lvl w:ilvl="4" w:tplc="04190019" w:tentative="1">
      <w:start w:val="1"/>
      <w:numFmt w:val="lowerLetter"/>
      <w:lvlText w:val="%5."/>
      <w:lvlJc w:val="left"/>
      <w:pPr>
        <w:ind w:left="4548" w:hanging="360"/>
      </w:pPr>
    </w:lvl>
    <w:lvl w:ilvl="5" w:tplc="0419001B" w:tentative="1">
      <w:start w:val="1"/>
      <w:numFmt w:val="lowerRoman"/>
      <w:lvlText w:val="%6."/>
      <w:lvlJc w:val="right"/>
      <w:pPr>
        <w:ind w:left="5268" w:hanging="180"/>
      </w:pPr>
    </w:lvl>
    <w:lvl w:ilvl="6" w:tplc="0419000F" w:tentative="1">
      <w:start w:val="1"/>
      <w:numFmt w:val="decimal"/>
      <w:lvlText w:val="%7."/>
      <w:lvlJc w:val="left"/>
      <w:pPr>
        <w:ind w:left="5988" w:hanging="360"/>
      </w:pPr>
    </w:lvl>
    <w:lvl w:ilvl="7" w:tplc="04190019" w:tentative="1">
      <w:start w:val="1"/>
      <w:numFmt w:val="lowerLetter"/>
      <w:lvlText w:val="%8."/>
      <w:lvlJc w:val="left"/>
      <w:pPr>
        <w:ind w:left="6708" w:hanging="360"/>
      </w:pPr>
    </w:lvl>
    <w:lvl w:ilvl="8" w:tplc="0419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1">
    <w:nsid w:val="1BFA7B5D"/>
    <w:multiLevelType w:val="hybridMultilevel"/>
    <w:tmpl w:val="D3804DDC"/>
    <w:lvl w:ilvl="0" w:tplc="970061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AB48DD"/>
    <w:multiLevelType w:val="hybridMultilevel"/>
    <w:tmpl w:val="2A1AA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33675B"/>
    <w:multiLevelType w:val="hybridMultilevel"/>
    <w:tmpl w:val="64AA529E"/>
    <w:lvl w:ilvl="0" w:tplc="7B6C85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11339F"/>
    <w:multiLevelType w:val="hybridMultilevel"/>
    <w:tmpl w:val="BF524C7A"/>
    <w:lvl w:ilvl="0" w:tplc="C5E8F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11A8A"/>
    <w:multiLevelType w:val="hybridMultilevel"/>
    <w:tmpl w:val="A1747040"/>
    <w:lvl w:ilvl="0" w:tplc="EAE4BCC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10529F"/>
    <w:multiLevelType w:val="hybridMultilevel"/>
    <w:tmpl w:val="56F2D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911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54D64"/>
    <w:rsid w:val="00015218"/>
    <w:rsid w:val="00032883"/>
    <w:rsid w:val="00040A76"/>
    <w:rsid w:val="00045506"/>
    <w:rsid w:val="00045F38"/>
    <w:rsid w:val="00054E1E"/>
    <w:rsid w:val="000606E6"/>
    <w:rsid w:val="00061334"/>
    <w:rsid w:val="00065F4F"/>
    <w:rsid w:val="00074866"/>
    <w:rsid w:val="000754E9"/>
    <w:rsid w:val="00093BD5"/>
    <w:rsid w:val="000B651F"/>
    <w:rsid w:val="000B7EBD"/>
    <w:rsid w:val="000D6DE7"/>
    <w:rsid w:val="000D7DF8"/>
    <w:rsid w:val="000E663B"/>
    <w:rsid w:val="0012196A"/>
    <w:rsid w:val="0013419A"/>
    <w:rsid w:val="00172AE2"/>
    <w:rsid w:val="001963A7"/>
    <w:rsid w:val="001A239F"/>
    <w:rsid w:val="001C0C42"/>
    <w:rsid w:val="001C3F81"/>
    <w:rsid w:val="00206361"/>
    <w:rsid w:val="0020647C"/>
    <w:rsid w:val="0025622B"/>
    <w:rsid w:val="00270E0C"/>
    <w:rsid w:val="00294FC1"/>
    <w:rsid w:val="00295574"/>
    <w:rsid w:val="002A43AC"/>
    <w:rsid w:val="002A6EE8"/>
    <w:rsid w:val="002B55B1"/>
    <w:rsid w:val="002B680C"/>
    <w:rsid w:val="002B7167"/>
    <w:rsid w:val="002E10C9"/>
    <w:rsid w:val="00300FDB"/>
    <w:rsid w:val="003212D3"/>
    <w:rsid w:val="00326585"/>
    <w:rsid w:val="00333657"/>
    <w:rsid w:val="003465ED"/>
    <w:rsid w:val="00370AAE"/>
    <w:rsid w:val="0039454B"/>
    <w:rsid w:val="003B0CCC"/>
    <w:rsid w:val="003C5940"/>
    <w:rsid w:val="003D2762"/>
    <w:rsid w:val="003D3BFE"/>
    <w:rsid w:val="003F3320"/>
    <w:rsid w:val="0040697F"/>
    <w:rsid w:val="00434FBE"/>
    <w:rsid w:val="00435A00"/>
    <w:rsid w:val="00435A6E"/>
    <w:rsid w:val="0044629F"/>
    <w:rsid w:val="004574C6"/>
    <w:rsid w:val="00460A9B"/>
    <w:rsid w:val="00467F60"/>
    <w:rsid w:val="00481BE3"/>
    <w:rsid w:val="004862CF"/>
    <w:rsid w:val="004C0544"/>
    <w:rsid w:val="004E1F81"/>
    <w:rsid w:val="00526CE4"/>
    <w:rsid w:val="00531E42"/>
    <w:rsid w:val="005726A1"/>
    <w:rsid w:val="00572E8F"/>
    <w:rsid w:val="00576FB5"/>
    <w:rsid w:val="00595F07"/>
    <w:rsid w:val="0059628B"/>
    <w:rsid w:val="005B1A76"/>
    <w:rsid w:val="00613C96"/>
    <w:rsid w:val="00626E5D"/>
    <w:rsid w:val="0064573A"/>
    <w:rsid w:val="00664FA9"/>
    <w:rsid w:val="00670168"/>
    <w:rsid w:val="00671D13"/>
    <w:rsid w:val="006B285A"/>
    <w:rsid w:val="006D24B1"/>
    <w:rsid w:val="006F6297"/>
    <w:rsid w:val="0070304D"/>
    <w:rsid w:val="00704062"/>
    <w:rsid w:val="007152C4"/>
    <w:rsid w:val="00723667"/>
    <w:rsid w:val="00743B86"/>
    <w:rsid w:val="00757A5C"/>
    <w:rsid w:val="0078649F"/>
    <w:rsid w:val="007C3DE3"/>
    <w:rsid w:val="007D5597"/>
    <w:rsid w:val="007E7D21"/>
    <w:rsid w:val="007F5035"/>
    <w:rsid w:val="00840263"/>
    <w:rsid w:val="00852FB1"/>
    <w:rsid w:val="00862BDB"/>
    <w:rsid w:val="00880B09"/>
    <w:rsid w:val="00891846"/>
    <w:rsid w:val="008C3D62"/>
    <w:rsid w:val="008D2DE2"/>
    <w:rsid w:val="008E0CF5"/>
    <w:rsid w:val="008F64D9"/>
    <w:rsid w:val="009036CD"/>
    <w:rsid w:val="009125C0"/>
    <w:rsid w:val="009313AA"/>
    <w:rsid w:val="009337E5"/>
    <w:rsid w:val="00933B77"/>
    <w:rsid w:val="00937B7D"/>
    <w:rsid w:val="00941D0D"/>
    <w:rsid w:val="00942AC6"/>
    <w:rsid w:val="00962095"/>
    <w:rsid w:val="009641AB"/>
    <w:rsid w:val="00966552"/>
    <w:rsid w:val="00971385"/>
    <w:rsid w:val="00973D2A"/>
    <w:rsid w:val="0098495D"/>
    <w:rsid w:val="00995234"/>
    <w:rsid w:val="009C36BA"/>
    <w:rsid w:val="009C4217"/>
    <w:rsid w:val="009F01CB"/>
    <w:rsid w:val="009F4AC6"/>
    <w:rsid w:val="009F5038"/>
    <w:rsid w:val="00A06817"/>
    <w:rsid w:val="00A077BE"/>
    <w:rsid w:val="00A1739D"/>
    <w:rsid w:val="00A432EB"/>
    <w:rsid w:val="00A50946"/>
    <w:rsid w:val="00A65316"/>
    <w:rsid w:val="00A81432"/>
    <w:rsid w:val="00A83177"/>
    <w:rsid w:val="00A8508A"/>
    <w:rsid w:val="00A86F79"/>
    <w:rsid w:val="00A90912"/>
    <w:rsid w:val="00A9604D"/>
    <w:rsid w:val="00AD57F1"/>
    <w:rsid w:val="00AE6FAA"/>
    <w:rsid w:val="00B01C8E"/>
    <w:rsid w:val="00B36C38"/>
    <w:rsid w:val="00B52D26"/>
    <w:rsid w:val="00B54D64"/>
    <w:rsid w:val="00B573D7"/>
    <w:rsid w:val="00B61A34"/>
    <w:rsid w:val="00B84194"/>
    <w:rsid w:val="00B91847"/>
    <w:rsid w:val="00BF0A0B"/>
    <w:rsid w:val="00BF54FB"/>
    <w:rsid w:val="00C07DCE"/>
    <w:rsid w:val="00C26217"/>
    <w:rsid w:val="00C34662"/>
    <w:rsid w:val="00C37900"/>
    <w:rsid w:val="00C50825"/>
    <w:rsid w:val="00C71027"/>
    <w:rsid w:val="00C74198"/>
    <w:rsid w:val="00C81A4B"/>
    <w:rsid w:val="00C874EC"/>
    <w:rsid w:val="00C91F1E"/>
    <w:rsid w:val="00C94220"/>
    <w:rsid w:val="00CC5DE3"/>
    <w:rsid w:val="00CD39B9"/>
    <w:rsid w:val="00CF632A"/>
    <w:rsid w:val="00D22C3E"/>
    <w:rsid w:val="00D32083"/>
    <w:rsid w:val="00D44F1C"/>
    <w:rsid w:val="00D5685E"/>
    <w:rsid w:val="00D6476C"/>
    <w:rsid w:val="00D91F76"/>
    <w:rsid w:val="00D966D3"/>
    <w:rsid w:val="00DA1D27"/>
    <w:rsid w:val="00DA758F"/>
    <w:rsid w:val="00DC619F"/>
    <w:rsid w:val="00DE3010"/>
    <w:rsid w:val="00DF35E1"/>
    <w:rsid w:val="00E03B52"/>
    <w:rsid w:val="00E04F06"/>
    <w:rsid w:val="00E15700"/>
    <w:rsid w:val="00E270B3"/>
    <w:rsid w:val="00E50AF4"/>
    <w:rsid w:val="00E52C0D"/>
    <w:rsid w:val="00E54C92"/>
    <w:rsid w:val="00E5626F"/>
    <w:rsid w:val="00E56CDD"/>
    <w:rsid w:val="00E605F8"/>
    <w:rsid w:val="00E6332C"/>
    <w:rsid w:val="00E64B9C"/>
    <w:rsid w:val="00E772AF"/>
    <w:rsid w:val="00E84B59"/>
    <w:rsid w:val="00EE06D4"/>
    <w:rsid w:val="00EF667E"/>
    <w:rsid w:val="00F10692"/>
    <w:rsid w:val="00F13241"/>
    <w:rsid w:val="00F201FF"/>
    <w:rsid w:val="00F27A80"/>
    <w:rsid w:val="00F3279C"/>
    <w:rsid w:val="00F32C5B"/>
    <w:rsid w:val="00F3456B"/>
    <w:rsid w:val="00F34AB2"/>
    <w:rsid w:val="00F356C6"/>
    <w:rsid w:val="00F37DC2"/>
    <w:rsid w:val="00F43D95"/>
    <w:rsid w:val="00F443D0"/>
    <w:rsid w:val="00F80EFA"/>
    <w:rsid w:val="00F8425F"/>
    <w:rsid w:val="00F84EC2"/>
    <w:rsid w:val="00FC2CD7"/>
    <w:rsid w:val="00FD511C"/>
    <w:rsid w:val="00FD6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73A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054E1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54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4E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327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852FB1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840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40263"/>
  </w:style>
  <w:style w:type="paragraph" w:styleId="ab">
    <w:name w:val="footer"/>
    <w:basedOn w:val="a"/>
    <w:link w:val="ac"/>
    <w:uiPriority w:val="99"/>
    <w:semiHidden/>
    <w:unhideWhenUsed/>
    <w:rsid w:val="00840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40263"/>
  </w:style>
  <w:style w:type="character" w:styleId="ad">
    <w:name w:val="line number"/>
    <w:basedOn w:val="a0"/>
    <w:uiPriority w:val="99"/>
    <w:semiHidden/>
    <w:unhideWhenUsed/>
    <w:rsid w:val="004574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EE460-C2EE-441E-BCE0-583125448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1654</Words>
  <Characters>9430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o.kuzovleva</cp:lastModifiedBy>
  <cp:revision>4</cp:revision>
  <cp:lastPrinted>2013-12-24T11:53:00Z</cp:lastPrinted>
  <dcterms:created xsi:type="dcterms:W3CDTF">2013-11-20T05:45:00Z</dcterms:created>
  <dcterms:modified xsi:type="dcterms:W3CDTF">2013-12-24T11:54:00Z</dcterms:modified>
</cp:coreProperties>
</file>