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AE" w:rsidRPr="00952FAE" w:rsidRDefault="007B1958" w:rsidP="00952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52FAE">
        <w:rPr>
          <w:b/>
          <w:sz w:val="28"/>
          <w:szCs w:val="28"/>
        </w:rPr>
        <w:t xml:space="preserve">Перечень </w:t>
      </w:r>
      <w:r w:rsidR="00952FAE" w:rsidRPr="00952FAE">
        <w:rPr>
          <w:rFonts w:ascii="Calibri" w:hAnsi="Calibri" w:cs="Calibri"/>
          <w:b/>
          <w:bCs/>
          <w:sz w:val="28"/>
          <w:szCs w:val="28"/>
        </w:rPr>
        <w:t>индикаторов риска нарушения обязательных требований, порядок отнесения объектов контроля к категориям риска</w:t>
      </w:r>
    </w:p>
    <w:p w:rsidR="007B1958" w:rsidRDefault="007B1958" w:rsidP="007B1958">
      <w:pPr>
        <w:pStyle w:val="ConsPlusTitle"/>
        <w:jc w:val="center"/>
        <w:outlineLvl w:val="1"/>
      </w:pPr>
    </w:p>
    <w:p w:rsidR="007B1958" w:rsidRDefault="007B1958" w:rsidP="007B1958">
      <w:pPr>
        <w:pStyle w:val="ConsPlusNormal"/>
        <w:jc w:val="both"/>
      </w:pPr>
    </w:p>
    <w:p w:rsidR="007B1958" w:rsidRDefault="007B1958" w:rsidP="007B1958">
      <w:pPr>
        <w:pStyle w:val="ConsPlusNormal"/>
        <w:ind w:firstLine="540"/>
        <w:jc w:val="both"/>
      </w:pPr>
      <w:r>
        <w:t>Проведение профилактических мероприятий осуществляется на основе управления рисками причинения вреда (ущерба). В этих целях объекты регионального государственного строительного надзора подлежат отнесению к одной из следующих категорий риска причинения вреда (ущерба):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>средний риск;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>умеренный риск;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>низкий риск.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 xml:space="preserve">1. Критерием отнесения объектов регионального государственного строительного надзора к категории </w:t>
      </w:r>
      <w:r w:rsidRPr="007B1958">
        <w:rPr>
          <w:b/>
        </w:rPr>
        <w:t>среднего риска</w:t>
      </w:r>
      <w:r>
        <w:t xml:space="preserve"> является наличие 5 и более вступивших в законную силу постановлений о назначении административного наказания за совершение административного правонарушения, допущенного контролируемым лицом при строительстве, реконструкции объекта капитального строительства, являющегося объектом регионального государственного строительного надзора, ответственность за которое предусмотрена </w:t>
      </w:r>
      <w:hyperlink r:id="rId4" w:history="1">
        <w:r>
          <w:rPr>
            <w:color w:val="0000FF"/>
          </w:rPr>
          <w:t>статьями 9.4</w:t>
        </w:r>
      </w:hyperlink>
      <w:r>
        <w:t xml:space="preserve">, </w:t>
      </w:r>
      <w:hyperlink r:id="rId5" w:history="1">
        <w:r>
          <w:rPr>
            <w:color w:val="0000FF"/>
          </w:rPr>
          <w:t>9.5</w:t>
        </w:r>
      </w:hyperlink>
      <w:r>
        <w:t xml:space="preserve">, </w:t>
      </w:r>
      <w:hyperlink r:id="rId6" w:history="1">
        <w:r>
          <w:rPr>
            <w:color w:val="0000FF"/>
          </w:rPr>
          <w:t>9.5(1)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8" w:history="1">
        <w:r>
          <w:rPr>
            <w:color w:val="0000FF"/>
          </w:rPr>
          <w:t>статьей 14.44</w:t>
        </w:r>
      </w:hyperlink>
      <w:r>
        <w:t xml:space="preserve">, </w:t>
      </w:r>
      <w:hyperlink r:id="rId9" w:history="1">
        <w:r>
          <w:rPr>
            <w:color w:val="0000FF"/>
          </w:rPr>
          <w:t>частью 6 статьи 19.5</w:t>
        </w:r>
      </w:hyperlink>
      <w:r>
        <w:t xml:space="preserve"> Кодекса Российской Федерации об административных правонарушениях, в период 1 года, предшествующего дате принятия решения об отнесении объекта контроля к категории риска.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 xml:space="preserve">2. Критерием отнесения объектов регионального государственного строительного надзора к категории </w:t>
      </w:r>
      <w:r w:rsidRPr="007B1958">
        <w:rPr>
          <w:b/>
        </w:rPr>
        <w:t>умеренного риска</w:t>
      </w:r>
      <w:r>
        <w:t xml:space="preserve"> является наличие 3 вступивших в законную силу постановлений о назначении административного наказания за совершение административного правонарушения, допущенного контролируемым лицом при строительстве, реконструкции объекта капитального строительства, являющегося объектом регионального государственного строительного надзора, ответственность за которое предусмотрена </w:t>
      </w:r>
      <w:hyperlink r:id="rId10" w:history="1">
        <w:r>
          <w:rPr>
            <w:color w:val="0000FF"/>
          </w:rPr>
          <w:t>статьями 9.4</w:t>
        </w:r>
      </w:hyperlink>
      <w:r>
        <w:t xml:space="preserve">, </w:t>
      </w:r>
      <w:hyperlink r:id="rId11" w:history="1">
        <w:r>
          <w:rPr>
            <w:color w:val="0000FF"/>
          </w:rPr>
          <w:t>9.5</w:t>
        </w:r>
      </w:hyperlink>
      <w:r>
        <w:t xml:space="preserve">, </w:t>
      </w:r>
      <w:hyperlink r:id="rId12" w:history="1">
        <w:r>
          <w:rPr>
            <w:color w:val="0000FF"/>
          </w:rPr>
          <w:t>9.5(1)</w:t>
        </w:r>
      </w:hyperlink>
      <w:r>
        <w:t xml:space="preserve">, </w:t>
      </w:r>
      <w:hyperlink r:id="rId13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4" w:history="1">
        <w:r>
          <w:rPr>
            <w:color w:val="0000FF"/>
          </w:rPr>
          <w:t>статьей 14.44</w:t>
        </w:r>
      </w:hyperlink>
      <w:r>
        <w:t xml:space="preserve">, </w:t>
      </w:r>
      <w:hyperlink r:id="rId15" w:history="1">
        <w:r>
          <w:rPr>
            <w:color w:val="0000FF"/>
          </w:rPr>
          <w:t>частью 6 статьи 19.5</w:t>
        </w:r>
      </w:hyperlink>
      <w:r>
        <w:t xml:space="preserve"> Кодекса Российской Федерации об административных правонарушениях, в период 1 года, предшествующего дате принятия решения об отнесении объекта контроля к категории риска.</w:t>
      </w:r>
    </w:p>
    <w:p w:rsidR="007B1958" w:rsidRDefault="007B1958" w:rsidP="007B1958">
      <w:pPr>
        <w:pStyle w:val="ConsPlusNormal"/>
        <w:spacing w:before="220"/>
        <w:ind w:firstLine="540"/>
        <w:jc w:val="both"/>
      </w:pPr>
      <w:r>
        <w:t xml:space="preserve">3. Критерием отнесения объектов регионального государственного строительного надзора к категории </w:t>
      </w:r>
      <w:r w:rsidRPr="007B1958">
        <w:rPr>
          <w:b/>
        </w:rPr>
        <w:t>низкого риска</w:t>
      </w:r>
      <w:r>
        <w:t xml:space="preserve"> является отсутствие критериев отнесения объекта регионального государственного строительного надзора к категории среднего и умеренного рисков.</w:t>
      </w:r>
    </w:p>
    <w:p w:rsidR="00952FAE" w:rsidRPr="00952FAE" w:rsidRDefault="007B1958" w:rsidP="00952FAE">
      <w:pPr>
        <w:pStyle w:val="ConsPlusNormal"/>
        <w:spacing w:before="220"/>
        <w:ind w:firstLine="540"/>
        <w:jc w:val="both"/>
      </w:pPr>
      <w:r>
        <w:t xml:space="preserve">4. В целях </w:t>
      </w:r>
      <w:bookmarkStart w:id="0" w:name="_GoBack"/>
      <w:bookmarkEnd w:id="0"/>
      <w:r w:rsidR="00952FAE" w:rsidRPr="00952FAE">
        <w:t>оценки риска причинения вреда (ущерба) при принятии решения о проведении и выборе вида внепланового контрольного (надзорного) мероприятия Органом контроля применяется следующий индикатор риска нарушения обязательных требований:</w:t>
      </w:r>
    </w:p>
    <w:p w:rsidR="00952FAE" w:rsidRPr="00952FAE" w:rsidRDefault="00952FAE" w:rsidP="00952FAE">
      <w:pPr>
        <w:pStyle w:val="ConsPlusNormal"/>
        <w:spacing w:before="220"/>
        <w:ind w:firstLine="540"/>
        <w:jc w:val="both"/>
      </w:pPr>
      <w:proofErr w:type="spellStart"/>
      <w:r w:rsidRPr="00952FAE">
        <w:t>непоступление</w:t>
      </w:r>
      <w:proofErr w:type="spellEnd"/>
      <w:r w:rsidRPr="00952FAE">
        <w:t xml:space="preserve"> извещения о начале строительства (реконструкции) объекта капитального строительства, предусмотренного </w:t>
      </w:r>
      <w:hyperlink r:id="rId16" w:history="1">
        <w:r w:rsidRPr="00952FAE">
          <w:t>частью 5 статьи 52</w:t>
        </w:r>
      </w:hyperlink>
      <w:r w:rsidRPr="00952FAE">
        <w:t xml:space="preserve"> Кодекса, по истечении 90 календарных дней со дня получения Департаментом в соответствии с </w:t>
      </w:r>
      <w:hyperlink r:id="rId17" w:history="1">
        <w:r w:rsidRPr="00952FAE">
          <w:t>частью 15 статьи 51</w:t>
        </w:r>
      </w:hyperlink>
      <w:r w:rsidRPr="00952FAE">
        <w:t xml:space="preserve"> Кодекса копии разрешения на строительство (реконструкцию) объекта капитального строительства.</w:t>
      </w:r>
    </w:p>
    <w:p w:rsidR="00952FAE" w:rsidRPr="00952FAE" w:rsidRDefault="00952FAE" w:rsidP="007B1958">
      <w:pPr>
        <w:pStyle w:val="ConsPlusNormal"/>
        <w:spacing w:before="220"/>
        <w:ind w:firstLine="540"/>
        <w:jc w:val="both"/>
      </w:pPr>
    </w:p>
    <w:p w:rsidR="00BE64B1" w:rsidRPr="00952FAE" w:rsidRDefault="00BE64B1" w:rsidP="00952FAE">
      <w:pPr>
        <w:pStyle w:val="ConsPlusNormal"/>
        <w:spacing w:before="220"/>
        <w:ind w:firstLine="540"/>
        <w:jc w:val="both"/>
      </w:pPr>
    </w:p>
    <w:sectPr w:rsidR="00BE64B1" w:rsidRPr="009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D7"/>
    <w:rsid w:val="007B1958"/>
    <w:rsid w:val="00952FAE"/>
    <w:rsid w:val="00BE64B1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7A1F"/>
  <w15:chartTrackingRefBased/>
  <w15:docId w15:val="{FBE260B0-64EE-4395-B5D1-66F827FC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46471A9E0EEA6BEB2F9AC25DCDE685D06A7F1D31610454399DB0E40C0385C8B57DB6971F4D964181CF2F98BB5F16878C1F820ED80q2U4G" TargetMode="External"/><Relationship Id="rId13" Type="http://schemas.openxmlformats.org/officeDocument/2006/relationships/hyperlink" Target="consultantplus://offline/ref=84546471A9E0EEA6BEB2F9AC25DCDE685D06A7F1D31610454399DB0E40C0385C8B57DB6978F7D264181CF2F98BB5F16878C1F820ED80q2U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546471A9E0EEA6BEB2F9AC25DCDE685D06A7F1D31610454399DB0E40C0385C8B57DB6978F7D264181CF2F98BB5F16878C1F820ED80q2U4G" TargetMode="External"/><Relationship Id="rId12" Type="http://schemas.openxmlformats.org/officeDocument/2006/relationships/hyperlink" Target="consultantplus://offline/ref=84546471A9E0EEA6BEB2F9AC25DCDE685D06A7F1D31610454399DB0E40C0385C8B57DB6C7FF3D264181CF2F98BB5F16878C1F820ED80q2U4G" TargetMode="External"/><Relationship Id="rId17" Type="http://schemas.openxmlformats.org/officeDocument/2006/relationships/hyperlink" Target="consultantplus://offline/ref=7C4733A995165BC2C0BF33A25FCCF48B56F7AB4A47C81205AE5E453BB5D83A6F5E130E32B66715C6B0DE0DABDC43AA992DB78DF79906hA3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733A995165BC2C0BF33A25FCCF48B56F7AB4A47C81205AE5E453BB5D83A6F5E130E33B66713C6B0DE0DABDC43AA992DB78DF79906hA3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46471A9E0EEA6BEB2F9AC25DCDE685D06A7F1D31610454399DB0E40C0385C8B57DB6C7FF3D264181CF2F98BB5F16878C1F820ED80q2U4G" TargetMode="External"/><Relationship Id="rId11" Type="http://schemas.openxmlformats.org/officeDocument/2006/relationships/hyperlink" Target="consultantplus://offline/ref=84546471A9E0EEA6BEB2F9AC25DCDE685D06A7F1D31610454399DB0E40C0385C8B57DB6371F4D13B1D09E3A184B7EF767ED9E422EFq8U0G" TargetMode="External"/><Relationship Id="rId5" Type="http://schemas.openxmlformats.org/officeDocument/2006/relationships/hyperlink" Target="consultantplus://offline/ref=84546471A9E0EEA6BEB2F9AC25DCDE685D06A7F1D31610454399DB0E40C0385C8B57DB6371F4D13B1D09E3A184B7EF767ED9E422EFq8U0G" TargetMode="External"/><Relationship Id="rId15" Type="http://schemas.openxmlformats.org/officeDocument/2006/relationships/hyperlink" Target="consultantplus://offline/ref=84546471A9E0EEA6BEB2F9AC25DCDE685D06A7F1D31610454399DB0E40C0385C8B57DB6C71FED364181CF2F98BB5F16878C1F820ED80q2U4G" TargetMode="External"/><Relationship Id="rId10" Type="http://schemas.openxmlformats.org/officeDocument/2006/relationships/hyperlink" Target="consultantplus://offline/ref=84546471A9E0EEA6BEB2F9AC25DCDE685D06A7F1D31610454399DB0E40C0385C8B57DB6971F6DA64181CF2F98BB5F16878C1F820ED80q2U4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546471A9E0EEA6BEB2F9AC25DCDE685D06A7F1D31610454399DB0E40C0385C8B57DB6971F6DA64181CF2F98BB5F16878C1F820ED80q2U4G" TargetMode="External"/><Relationship Id="rId9" Type="http://schemas.openxmlformats.org/officeDocument/2006/relationships/hyperlink" Target="consultantplus://offline/ref=84546471A9E0EEA6BEB2F9AC25DCDE685D06A7F1D31610454399DB0E40C0385C8B57DB6C71FED364181CF2F98BB5F16878C1F820ED80q2U4G" TargetMode="External"/><Relationship Id="rId14" Type="http://schemas.openxmlformats.org/officeDocument/2006/relationships/hyperlink" Target="consultantplus://offline/ref=84546471A9E0EEA6BEB2F9AC25DCDE685D06A7F1D31610454399DB0E40C0385C8B57DB6971F4D964181CF2F98BB5F16878C1F820ED80q2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2</cp:revision>
  <dcterms:created xsi:type="dcterms:W3CDTF">2023-11-01T12:56:00Z</dcterms:created>
  <dcterms:modified xsi:type="dcterms:W3CDTF">2023-11-01T12:56:00Z</dcterms:modified>
</cp:coreProperties>
</file>